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315" w:rsidRPr="00462850" w:rsidRDefault="00462850" w:rsidP="00462850">
      <w:pPr>
        <w:jc w:val="center"/>
        <w:rPr>
          <w:rFonts w:ascii="Book Antiqua" w:hAnsi="Book Antiqua"/>
          <w:b/>
        </w:rPr>
      </w:pPr>
      <w:r w:rsidRPr="00462850">
        <w:rPr>
          <w:rFonts w:ascii="Book Antiqua" w:hAnsi="Book Antiqua"/>
          <w:b/>
        </w:rPr>
        <w:t>Conflicts of Interest, Bias</w:t>
      </w:r>
      <w:r w:rsidR="008D5603">
        <w:rPr>
          <w:rFonts w:ascii="Book Antiqua" w:hAnsi="Book Antiqua"/>
          <w:b/>
        </w:rPr>
        <w:t>,</w:t>
      </w:r>
      <w:r w:rsidRPr="00462850">
        <w:rPr>
          <w:rFonts w:ascii="Book Antiqua" w:hAnsi="Book Antiqua"/>
          <w:b/>
        </w:rPr>
        <w:t xml:space="preserve"> and Prejudging</w:t>
      </w:r>
    </w:p>
    <w:p w:rsidR="00462850" w:rsidRPr="00462850" w:rsidRDefault="00462850" w:rsidP="00462850">
      <w:pPr>
        <w:jc w:val="center"/>
        <w:rPr>
          <w:rFonts w:ascii="Book Antiqua" w:hAnsi="Book Antiqua"/>
          <w:b/>
        </w:rPr>
      </w:pPr>
      <w:r w:rsidRPr="00462850">
        <w:rPr>
          <w:rFonts w:ascii="Book Antiqua" w:hAnsi="Book Antiqua"/>
          <w:b/>
        </w:rPr>
        <w:t>Draft Compliance Training</w:t>
      </w:r>
    </w:p>
    <w:p w:rsidR="00462850" w:rsidRDefault="00462850">
      <w:pPr>
        <w:rPr>
          <w:rFonts w:ascii="Book Antiqua" w:hAnsi="Book Antiqua"/>
        </w:rPr>
      </w:pPr>
      <w:r w:rsidRPr="00462850">
        <w:rPr>
          <w:rFonts w:ascii="Book Antiqua" w:hAnsi="Book Antiqua"/>
        </w:rPr>
        <w:t>The Final Rule requires that individuals with roles in the grievance process be free from conflicts of interest or bias. Specifically, a recipient must require that “</w:t>
      </w:r>
      <w:proofErr w:type="gramStart"/>
      <w:r w:rsidRPr="00462850">
        <w:rPr>
          <w:rFonts w:ascii="Book Antiqua" w:hAnsi="Book Antiqua"/>
        </w:rPr>
        <w:t>….any</w:t>
      </w:r>
      <w:proofErr w:type="gramEnd"/>
      <w:r w:rsidRPr="00462850">
        <w:rPr>
          <w:rFonts w:ascii="Book Antiqua" w:hAnsi="Book Antiqua"/>
        </w:rPr>
        <w:t xml:space="preserve"> individual designated by a recipient as a Title IX Coordinator, investigator, decision-maker, or any person designated by a recipient to facilitate an informal resolution process, [must] not have a conflict of interest or bias for or against complainants or respondents generally or an individual complainant or respondent.” Final Rule §106.45(b)(1)(iii).</w:t>
      </w:r>
    </w:p>
    <w:p w:rsidR="00462850" w:rsidRPr="00462850" w:rsidRDefault="00462850">
      <w:pPr>
        <w:rPr>
          <w:rFonts w:ascii="Book Antiqua" w:hAnsi="Book Antiqua"/>
          <w:b/>
        </w:rPr>
      </w:pPr>
      <w:r w:rsidRPr="00462850">
        <w:rPr>
          <w:rFonts w:ascii="Book Antiqua" w:hAnsi="Book Antiqua"/>
          <w:b/>
        </w:rPr>
        <w:t>What is a conflict of Interest?</w:t>
      </w:r>
    </w:p>
    <w:p w:rsidR="00462850" w:rsidRDefault="00462850">
      <w:pPr>
        <w:rPr>
          <w:rFonts w:ascii="Book Antiqua" w:hAnsi="Book Antiqua"/>
        </w:rPr>
      </w:pPr>
      <w:r w:rsidRPr="00462850">
        <w:rPr>
          <w:rFonts w:ascii="Book Antiqua" w:hAnsi="Book Antiqua"/>
        </w:rPr>
        <w:t xml:space="preserve">Title IX Coordinators, investigators, decision-makers, and/or facilitators must not be biased against a </w:t>
      </w:r>
      <w:proofErr w:type="gramStart"/>
      <w:r w:rsidRPr="00462850">
        <w:rPr>
          <w:rFonts w:ascii="Book Antiqua" w:hAnsi="Book Antiqua"/>
        </w:rPr>
        <w:t>particular class</w:t>
      </w:r>
      <w:proofErr w:type="gramEnd"/>
      <w:r w:rsidRPr="00462850">
        <w:rPr>
          <w:rFonts w:ascii="Book Antiqua" w:hAnsi="Book Antiqua"/>
        </w:rPr>
        <w:t xml:space="preserve"> of parties in the grievance process. They must not harbor biases against complainants or against respondents. As such, an individual’s status as a respondent must not be considered a negative factor during consideration of the grievance. This point reinforces the Final Rule’s separate presumption of non-responsibility for a respondent until a decision is rendered in the grievance process. See Final Rule §106.45(b)(1)(iv).</w:t>
      </w:r>
    </w:p>
    <w:p w:rsidR="00462850" w:rsidRPr="00DC7706" w:rsidRDefault="00462850">
      <w:pPr>
        <w:rPr>
          <w:rFonts w:ascii="Book Antiqua" w:hAnsi="Book Antiqua"/>
          <w:b/>
        </w:rPr>
      </w:pPr>
      <w:r w:rsidRPr="00DC7706">
        <w:rPr>
          <w:rFonts w:ascii="Book Antiqua" w:hAnsi="Book Antiqua"/>
          <w:b/>
        </w:rPr>
        <w:t>What is not a</w:t>
      </w:r>
      <w:r w:rsidR="00E50F14">
        <w:rPr>
          <w:rFonts w:ascii="Book Antiqua" w:hAnsi="Book Antiqua"/>
          <w:b/>
        </w:rPr>
        <w:t>n automatic</w:t>
      </w:r>
      <w:r w:rsidRPr="00DC7706">
        <w:rPr>
          <w:rFonts w:ascii="Book Antiqua" w:hAnsi="Book Antiqua"/>
          <w:b/>
        </w:rPr>
        <w:t xml:space="preserve"> conflict of interest</w:t>
      </w:r>
      <w:r w:rsidR="00E50F14">
        <w:rPr>
          <w:rFonts w:ascii="Book Antiqua" w:hAnsi="Book Antiqua"/>
          <w:b/>
        </w:rPr>
        <w:t>?</w:t>
      </w:r>
    </w:p>
    <w:p w:rsidR="00462850" w:rsidRPr="00DC7706" w:rsidRDefault="00462850" w:rsidP="000E3EE6">
      <w:pPr>
        <w:pStyle w:val="ListParagraph"/>
        <w:numPr>
          <w:ilvl w:val="0"/>
          <w:numId w:val="3"/>
        </w:numPr>
        <w:rPr>
          <w:rFonts w:ascii="Book Antiqua" w:hAnsi="Book Antiqua"/>
        </w:rPr>
      </w:pPr>
      <w:r w:rsidRPr="00DC7706">
        <w:rPr>
          <w:rFonts w:ascii="Book Antiqua" w:hAnsi="Book Antiqua"/>
        </w:rPr>
        <w:t>Professional experience</w:t>
      </w:r>
    </w:p>
    <w:p w:rsidR="00462850" w:rsidRDefault="00462850" w:rsidP="00462850">
      <w:pPr>
        <w:pStyle w:val="ListParagraph"/>
        <w:numPr>
          <w:ilvl w:val="1"/>
          <w:numId w:val="3"/>
        </w:numPr>
        <w:rPr>
          <w:rFonts w:ascii="Book Antiqua" w:hAnsi="Book Antiqua"/>
        </w:rPr>
      </w:pPr>
      <w:r w:rsidRPr="00DC7706">
        <w:rPr>
          <w:rFonts w:ascii="Book Antiqua" w:hAnsi="Book Antiqua"/>
        </w:rPr>
        <w:t xml:space="preserve">“[T]he very training required by § 106.45(b)(1)(iii) is intended to provide Title IX personnel with the tools needed to serve impartially and without bias such that the prior professional experience of a person whom a recipient would like to have in a Title IX role need not disqualify the person from obtaining the requisite training to serve impartially in a Title IX role.” </w:t>
      </w:r>
      <w:r w:rsidRPr="00DC7706">
        <w:rPr>
          <w:rFonts w:ascii="Book Antiqua" w:hAnsi="Book Antiqua"/>
          <w:i/>
          <w:iCs/>
        </w:rPr>
        <w:t xml:space="preserve">Id. </w:t>
      </w:r>
      <w:r w:rsidRPr="00DC7706">
        <w:rPr>
          <w:rFonts w:ascii="Book Antiqua" w:hAnsi="Book Antiqua"/>
        </w:rPr>
        <w:t xml:space="preserve">at 30,252. </w:t>
      </w:r>
    </w:p>
    <w:p w:rsidR="00DC7706" w:rsidRPr="00DC7706" w:rsidRDefault="00DC7706" w:rsidP="00462850">
      <w:pPr>
        <w:pStyle w:val="ListParagraph"/>
        <w:numPr>
          <w:ilvl w:val="1"/>
          <w:numId w:val="3"/>
        </w:numPr>
        <w:rPr>
          <w:rFonts w:ascii="Book Antiqua" w:hAnsi="Book Antiqua"/>
        </w:rPr>
      </w:pPr>
      <w:r>
        <w:rPr>
          <w:rFonts w:ascii="Book Antiqua" w:hAnsi="Book Antiqua"/>
        </w:rPr>
        <w:t>A</w:t>
      </w:r>
      <w:r w:rsidRPr="00DC7706">
        <w:rPr>
          <w:rFonts w:ascii="Book Antiqua" w:hAnsi="Book Antiqua"/>
        </w:rPr>
        <w:t>ny determination regarding an individual’s conflict of interest or bias depends on an “objective</w:t>
      </w:r>
      <w:r>
        <w:rPr>
          <w:rFonts w:ascii="Book Antiqua" w:hAnsi="Book Antiqua"/>
        </w:rPr>
        <w:t xml:space="preserve"> (whether a reasonable person would believe bias exists)</w:t>
      </w:r>
      <w:r w:rsidRPr="00DC7706">
        <w:rPr>
          <w:rFonts w:ascii="Book Antiqua" w:hAnsi="Book Antiqua"/>
        </w:rPr>
        <w:t xml:space="preserve">” evaluation of the circumstances. </w:t>
      </w:r>
      <w:r w:rsidRPr="00DC7706">
        <w:rPr>
          <w:rFonts w:ascii="Book Antiqua" w:hAnsi="Book Antiqua"/>
        </w:rPr>
        <w:t xml:space="preserve">84 Fed. Reg. </w:t>
      </w:r>
      <w:r w:rsidRPr="00DC7706">
        <w:rPr>
          <w:rFonts w:ascii="Book Antiqua" w:hAnsi="Book Antiqua"/>
        </w:rPr>
        <w:t>at 30252. Such an objective evaluation could not rest on stereotypes, such as "assuming that all self-professed feminists, or self-described survivors, are biased against men, or that a male is incapable of being sensitive to women, or that prior work as a victim advocate, or as a defense attorney, renders the person biased for or against complainants or respondents.” Id.</w:t>
      </w:r>
    </w:p>
    <w:p w:rsidR="00462850" w:rsidRPr="00DC7706" w:rsidRDefault="00462850" w:rsidP="00671EBC">
      <w:pPr>
        <w:pStyle w:val="ListParagraph"/>
        <w:numPr>
          <w:ilvl w:val="0"/>
          <w:numId w:val="3"/>
        </w:numPr>
        <w:rPr>
          <w:rFonts w:ascii="Book Antiqua" w:hAnsi="Book Antiqua"/>
        </w:rPr>
      </w:pPr>
      <w:r w:rsidRPr="00DC7706">
        <w:rPr>
          <w:rFonts w:ascii="Book Antiqua" w:hAnsi="Book Antiqua"/>
        </w:rPr>
        <w:t>Employment with the institution? No</w:t>
      </w:r>
    </w:p>
    <w:p w:rsidR="00462850" w:rsidRPr="00DC7706" w:rsidRDefault="00462850" w:rsidP="00462850">
      <w:pPr>
        <w:pStyle w:val="ListParagraph"/>
        <w:numPr>
          <w:ilvl w:val="1"/>
          <w:numId w:val="3"/>
        </w:numPr>
        <w:rPr>
          <w:rFonts w:ascii="Book Antiqua" w:hAnsi="Book Antiqua"/>
        </w:rPr>
      </w:pPr>
      <w:r w:rsidRPr="00DC7706">
        <w:rPr>
          <w:rFonts w:ascii="Book Antiqua" w:hAnsi="Book Antiqua"/>
        </w:rPr>
        <w:t>“[R]</w:t>
      </w:r>
      <w:proofErr w:type="spellStart"/>
      <w:r w:rsidRPr="00DC7706">
        <w:rPr>
          <w:rFonts w:ascii="Book Antiqua" w:hAnsi="Book Antiqua"/>
        </w:rPr>
        <w:t>ecipients</w:t>
      </w:r>
      <w:proofErr w:type="spellEnd"/>
      <w:r w:rsidRPr="00DC7706">
        <w:rPr>
          <w:rFonts w:ascii="Book Antiqua" w:hAnsi="Book Antiqua"/>
        </w:rPr>
        <w:t xml:space="preserve"> can comply with the final regulations by using the recipient’s own employees” Title IX 85 Fed. Reg. 30,026, 30,252 (May 19, 2020) (to be codified at 34 C.F.R. pt. 106). “[T]he final regulations do not prescribe any particular administrative ‘chain of reporting’ restrictions or declare any such administrative arrangements to be per se conflicts of interest prohibited under § 106.45(b)(1)(iii).” </w:t>
      </w:r>
      <w:r w:rsidRPr="00DC7706">
        <w:rPr>
          <w:rFonts w:ascii="Book Antiqua" w:hAnsi="Book Antiqua"/>
          <w:i/>
          <w:iCs/>
        </w:rPr>
        <w:t xml:space="preserve">Id. </w:t>
      </w:r>
      <w:r w:rsidRPr="00DC7706">
        <w:rPr>
          <w:rFonts w:ascii="Book Antiqua" w:hAnsi="Book Antiqua"/>
        </w:rPr>
        <w:t xml:space="preserve">at 30,252 n.1035. </w:t>
      </w:r>
      <w:r w:rsidRPr="00DC7706">
        <w:rPr>
          <w:rFonts w:ascii="Book Antiqua" w:hAnsi="Book Antiqua"/>
        </w:rPr>
        <w:t>\</w:t>
      </w:r>
    </w:p>
    <w:p w:rsidR="00462850" w:rsidRPr="00DC7706" w:rsidRDefault="00462850" w:rsidP="00462850">
      <w:pPr>
        <w:pStyle w:val="ListParagraph"/>
        <w:numPr>
          <w:ilvl w:val="0"/>
          <w:numId w:val="3"/>
        </w:numPr>
        <w:rPr>
          <w:rFonts w:ascii="Book Antiqua" w:hAnsi="Book Antiqua"/>
        </w:rPr>
      </w:pPr>
      <w:r w:rsidRPr="00DC7706">
        <w:rPr>
          <w:rFonts w:ascii="Book Antiqua" w:hAnsi="Book Antiqua"/>
        </w:rPr>
        <w:t>Affiliated with the institution?  No</w:t>
      </w:r>
    </w:p>
    <w:p w:rsidR="00462850" w:rsidRPr="00DC7706" w:rsidRDefault="00462850" w:rsidP="00462850">
      <w:pPr>
        <w:pStyle w:val="ListParagraph"/>
        <w:numPr>
          <w:ilvl w:val="1"/>
          <w:numId w:val="3"/>
        </w:numPr>
        <w:rPr>
          <w:rFonts w:ascii="Book Antiqua" w:hAnsi="Book Antiqua"/>
        </w:rPr>
      </w:pPr>
      <w:r w:rsidRPr="00DC7706">
        <w:rPr>
          <w:rFonts w:ascii="Book Antiqua" w:hAnsi="Book Antiqua"/>
        </w:rPr>
        <w:lastRenderedPageBreak/>
        <w:t xml:space="preserve">“The Department declines to require recipients to use outside, unaffiliated Title IX personnel because the Department does not conclude that such prescription is necessary to effectuate the purposes of the final regulations” </w:t>
      </w:r>
      <w:r w:rsidRPr="00DC7706">
        <w:rPr>
          <w:rFonts w:ascii="Book Antiqua" w:hAnsi="Book Antiqua"/>
          <w:i/>
          <w:iCs/>
        </w:rPr>
        <w:t xml:space="preserve">Id. </w:t>
      </w:r>
      <w:r w:rsidRPr="00DC7706">
        <w:rPr>
          <w:rFonts w:ascii="Book Antiqua" w:hAnsi="Book Antiqua"/>
        </w:rPr>
        <w:t xml:space="preserve">at 30,252. </w:t>
      </w:r>
    </w:p>
    <w:p w:rsidR="0034684B" w:rsidRPr="00B16B8B" w:rsidRDefault="008D5603">
      <w:pPr>
        <w:rPr>
          <w:rFonts w:ascii="Book Antiqua" w:hAnsi="Book Antiqua"/>
          <w:b/>
        </w:rPr>
      </w:pPr>
      <w:r>
        <w:rPr>
          <w:rFonts w:ascii="Book Antiqua" w:hAnsi="Book Antiqua"/>
          <w:b/>
        </w:rPr>
        <w:t>What is p</w:t>
      </w:r>
      <w:r w:rsidR="0034684B" w:rsidRPr="00B16B8B">
        <w:rPr>
          <w:rFonts w:ascii="Book Antiqua" w:hAnsi="Book Antiqua"/>
          <w:b/>
        </w:rPr>
        <w:t>rejudging</w:t>
      </w:r>
      <w:r>
        <w:rPr>
          <w:rFonts w:ascii="Book Antiqua" w:hAnsi="Book Antiqua"/>
          <w:b/>
        </w:rPr>
        <w:t>?</w:t>
      </w:r>
    </w:p>
    <w:p w:rsidR="0034684B" w:rsidRDefault="0034684B">
      <w:pPr>
        <w:rPr>
          <w:rFonts w:ascii="Book Antiqua" w:hAnsi="Book Antiqua"/>
        </w:rPr>
      </w:pPr>
      <w:r w:rsidRPr="00B16B8B">
        <w:rPr>
          <w:rFonts w:ascii="Book Antiqua" w:hAnsi="Book Antiqua"/>
        </w:rPr>
        <w:t xml:space="preserve">The Final Rule’s prohibition against bias and conflict of interest is intended to minimize premature judgment </w:t>
      </w:r>
      <w:r w:rsidR="008D5603">
        <w:rPr>
          <w:rFonts w:ascii="Book Antiqua" w:hAnsi="Book Antiqua"/>
        </w:rPr>
        <w:t xml:space="preserve">(prejudging) </w:t>
      </w:r>
      <w:r w:rsidRPr="00B16B8B">
        <w:rPr>
          <w:rFonts w:ascii="Book Antiqua" w:hAnsi="Book Antiqua"/>
        </w:rPr>
        <w:t>of the facts related to the grievance throughout the Title IX grievance process.</w:t>
      </w:r>
      <w:r w:rsidRPr="00B16B8B">
        <w:rPr>
          <w:rFonts w:ascii="Book Antiqua" w:hAnsi="Book Antiqua"/>
        </w:rPr>
        <w:t xml:space="preserve">  </w:t>
      </w:r>
    </w:p>
    <w:p w:rsidR="00B16B8B" w:rsidRPr="00B16B8B" w:rsidRDefault="00B16B8B">
      <w:pPr>
        <w:rPr>
          <w:rFonts w:ascii="Book Antiqua" w:hAnsi="Book Antiqua"/>
        </w:rPr>
      </w:pPr>
      <w:r w:rsidRPr="00B16B8B">
        <w:rPr>
          <w:rFonts w:ascii="Book Antiqua" w:hAnsi="Book Antiqua"/>
        </w:rPr>
        <w:t>“</w:t>
      </w:r>
      <w:r w:rsidRPr="00B16B8B">
        <w:rPr>
          <w:rFonts w:ascii="Book Antiqua" w:hAnsi="Book Antiqua"/>
        </w:rPr>
        <w:t>While the Department acknowledges that Title IX proceedings are not criminal in nature and do not require application of constitutional protections granted to criminal defendants, the Department believes that a presumption of non-responsibility is critical to ensuring a fair proceeding in the Title IX sexual harassment context, rooted in the same principle that underlies the constitutional presumption of innocence afforded to criminal defendants.1052 In the noncriminal context of a Title IX grievance process, the presumption reinforces the final regulations’ prohibition against a recipient treating a respondent as responsible until conclusion</w:t>
      </w:r>
      <w:r w:rsidRPr="00B16B8B">
        <w:rPr>
          <w:rFonts w:ascii="Book Antiqua" w:hAnsi="Book Antiqua"/>
        </w:rPr>
        <w:t xml:space="preserve"> </w:t>
      </w:r>
      <w:r w:rsidRPr="00B16B8B">
        <w:rPr>
          <w:rFonts w:ascii="Book Antiqua" w:hAnsi="Book Antiqua"/>
        </w:rPr>
        <w:t>of a grievance process1053 and reinforces correct application of the standard of evidence selected by the recipient for use in the recipient’s Title IX sexual harassment grievance process. These aspects of the presumption improve the fairness of the process and increase party and public confidence in such outcomes</w:t>
      </w:r>
      <w:r w:rsidRPr="00B16B8B">
        <w:rPr>
          <w:rFonts w:ascii="Book Antiqua" w:hAnsi="Book Antiqua"/>
        </w:rPr>
        <w:t xml:space="preserve">.”  </w:t>
      </w:r>
      <w:r w:rsidRPr="006E6F0B">
        <w:rPr>
          <w:rFonts w:ascii="Book Antiqua" w:hAnsi="Book Antiqua"/>
          <w:i/>
        </w:rPr>
        <w:t>Id</w:t>
      </w:r>
      <w:r w:rsidR="006E6F0B">
        <w:rPr>
          <w:rFonts w:ascii="Book Antiqua" w:hAnsi="Book Antiqua"/>
        </w:rPr>
        <w:t>.</w:t>
      </w:r>
      <w:r w:rsidRPr="00B16B8B">
        <w:rPr>
          <w:rFonts w:ascii="Book Antiqua" w:hAnsi="Book Antiqua"/>
        </w:rPr>
        <w:t xml:space="preserve"> at 30</w:t>
      </w:r>
      <w:r w:rsidR="006E6F0B">
        <w:rPr>
          <w:rFonts w:ascii="Book Antiqua" w:hAnsi="Book Antiqua"/>
        </w:rPr>
        <w:t>,</w:t>
      </w:r>
      <w:r w:rsidRPr="00B16B8B">
        <w:rPr>
          <w:rFonts w:ascii="Book Antiqua" w:hAnsi="Book Antiqua"/>
        </w:rPr>
        <w:t xml:space="preserve">258.  You may want to pay </w:t>
      </w:r>
      <w:r w:rsidR="00A8102E" w:rsidRPr="00B16B8B">
        <w:rPr>
          <w:rFonts w:ascii="Book Antiqua" w:hAnsi="Book Antiqua"/>
        </w:rPr>
        <w:t>attention</w:t>
      </w:r>
      <w:r w:rsidRPr="00B16B8B">
        <w:rPr>
          <w:rFonts w:ascii="Book Antiqua" w:hAnsi="Book Antiqua"/>
        </w:rPr>
        <w:t xml:space="preserve"> to Footnote</w:t>
      </w:r>
      <w:r>
        <w:rPr>
          <w:rFonts w:ascii="Book Antiqua" w:hAnsi="Book Antiqua"/>
        </w:rPr>
        <w:t>s</w:t>
      </w:r>
      <w:r w:rsidRPr="00B16B8B">
        <w:rPr>
          <w:rFonts w:ascii="Book Antiqua" w:hAnsi="Book Antiqua"/>
        </w:rPr>
        <w:t xml:space="preserve"> 1052-1054, which cite to a wealth of articles </w:t>
      </w:r>
      <w:r>
        <w:rPr>
          <w:rFonts w:ascii="Book Antiqua" w:hAnsi="Book Antiqua"/>
        </w:rPr>
        <w:t xml:space="preserve">on the criminal concept of presumption of innocence </w:t>
      </w:r>
      <w:r w:rsidRPr="00B16B8B">
        <w:rPr>
          <w:rFonts w:ascii="Book Antiqua" w:hAnsi="Book Antiqua"/>
        </w:rPr>
        <w:t>(including a</w:t>
      </w:r>
      <w:r w:rsidR="006E6F0B">
        <w:rPr>
          <w:rFonts w:ascii="Book Antiqua" w:hAnsi="Book Antiqua"/>
        </w:rPr>
        <w:t xml:space="preserve"> 2002</w:t>
      </w:r>
      <w:r w:rsidRPr="00B16B8B">
        <w:rPr>
          <w:rFonts w:ascii="Book Antiqua" w:hAnsi="Book Antiqua"/>
        </w:rPr>
        <w:t xml:space="preserve"> </w:t>
      </w:r>
      <w:r w:rsidRPr="006E6F0B">
        <w:rPr>
          <w:rFonts w:ascii="Book Antiqua" w:hAnsi="Book Antiqua"/>
          <w:i/>
        </w:rPr>
        <w:t>Oklahoma Law Review</w:t>
      </w:r>
      <w:r w:rsidRPr="00B16B8B">
        <w:rPr>
          <w:rFonts w:ascii="Book Antiqua" w:hAnsi="Book Antiqua"/>
        </w:rPr>
        <w:t xml:space="preserve"> article) on this exact issue.  </w:t>
      </w:r>
    </w:p>
    <w:p w:rsidR="00462850" w:rsidRPr="003A546D" w:rsidRDefault="003A546D">
      <w:pPr>
        <w:rPr>
          <w:rFonts w:ascii="Book Antiqua" w:hAnsi="Book Antiqua"/>
          <w:b/>
        </w:rPr>
      </w:pPr>
      <w:r w:rsidRPr="003A546D">
        <w:rPr>
          <w:rFonts w:ascii="Book Antiqua" w:hAnsi="Book Antiqua"/>
          <w:b/>
        </w:rPr>
        <w:t>Additional Training Materials</w:t>
      </w:r>
    </w:p>
    <w:p w:rsidR="00000000" w:rsidRPr="00462850" w:rsidRDefault="00460307" w:rsidP="00462850">
      <w:pPr>
        <w:numPr>
          <w:ilvl w:val="0"/>
          <w:numId w:val="2"/>
        </w:numPr>
        <w:rPr>
          <w:rFonts w:ascii="Book Antiqua" w:hAnsi="Book Antiqua"/>
        </w:rPr>
      </w:pPr>
      <w:r w:rsidRPr="00460307">
        <w:rPr>
          <w:rFonts w:ascii="Book Antiqua" w:hAnsi="Book Antiqua"/>
        </w:rPr>
        <w:t xml:space="preserve">End Violence Against Women International </w:t>
      </w:r>
      <w:r>
        <w:rPr>
          <w:rFonts w:ascii="Book Antiqua" w:hAnsi="Book Antiqua"/>
        </w:rPr>
        <w:t>developed a f</w:t>
      </w:r>
      <w:r w:rsidR="00280DAC" w:rsidRPr="00462850">
        <w:rPr>
          <w:rFonts w:ascii="Book Antiqua" w:hAnsi="Book Antiqua"/>
        </w:rPr>
        <w:t>ree four</w:t>
      </w:r>
      <w:r>
        <w:rPr>
          <w:rFonts w:ascii="Book Antiqua" w:hAnsi="Book Antiqua"/>
        </w:rPr>
        <w:t>-</w:t>
      </w:r>
      <w:r w:rsidR="00280DAC" w:rsidRPr="00462850">
        <w:rPr>
          <w:rFonts w:ascii="Book Antiqua" w:hAnsi="Book Antiqua"/>
        </w:rPr>
        <w:t xml:space="preserve">part series on </w:t>
      </w:r>
      <w:r w:rsidR="003A546D">
        <w:rPr>
          <w:rFonts w:ascii="Book Antiqua" w:hAnsi="Book Antiqua"/>
        </w:rPr>
        <w:t>Gender</w:t>
      </w:r>
      <w:r>
        <w:rPr>
          <w:rFonts w:ascii="Book Antiqua" w:hAnsi="Book Antiqua"/>
        </w:rPr>
        <w:t xml:space="preserve"> Bias in Sexual Assault Response and Investigations. </w:t>
      </w:r>
      <w:r>
        <w:rPr>
          <w:rStyle w:val="FootnoteReference"/>
          <w:rFonts w:ascii="Book Antiqua" w:hAnsi="Book Antiqua"/>
        </w:rPr>
        <w:footnoteReference w:id="1"/>
      </w:r>
      <w:r>
        <w:rPr>
          <w:rFonts w:ascii="Book Antiqua" w:hAnsi="Book Antiqua"/>
        </w:rPr>
        <w:t xml:space="preserve"> </w:t>
      </w:r>
      <w:r w:rsidR="00280DAC" w:rsidRPr="00462850">
        <w:rPr>
          <w:rFonts w:ascii="Book Antiqua" w:hAnsi="Book Antiqua"/>
        </w:rPr>
        <w:t xml:space="preserve"> –</w:t>
      </w:r>
      <w:r w:rsidR="00462850" w:rsidRPr="00462850">
        <w:rPr>
          <w:rFonts w:ascii="Book Antiqua" w:hAnsi="Book Antiqua"/>
        </w:rPr>
        <w:t xml:space="preserve">at </w:t>
      </w:r>
      <w:hyperlink r:id="rId8" w:history="1">
        <w:r w:rsidR="00280DAC" w:rsidRPr="00462850">
          <w:rPr>
            <w:rStyle w:val="Hyperlink"/>
            <w:rFonts w:ascii="Book Antiqua" w:hAnsi="Book Antiqua"/>
          </w:rPr>
          <w:t>https://vawnet.org/material/gender-bias-sexual-assault-response-and-investigation</w:t>
        </w:r>
      </w:hyperlink>
    </w:p>
    <w:p w:rsidR="00462850" w:rsidRDefault="00460307" w:rsidP="00462850">
      <w:pPr>
        <w:numPr>
          <w:ilvl w:val="1"/>
          <w:numId w:val="2"/>
        </w:numPr>
        <w:rPr>
          <w:rFonts w:ascii="Book Antiqua" w:hAnsi="Book Antiqua"/>
        </w:rPr>
      </w:pPr>
      <w:r>
        <w:rPr>
          <w:rFonts w:ascii="Book Antiqua" w:hAnsi="Book Antiqua"/>
        </w:rPr>
        <w:t xml:space="preserve">Gender bias in sexual assault response and investigation Part 1 at </w:t>
      </w:r>
      <w:hyperlink r:id="rId9" w:history="1">
        <w:r w:rsidRPr="009D6318">
          <w:rPr>
            <w:rStyle w:val="Hyperlink"/>
            <w:rFonts w:ascii="Book Antiqua" w:hAnsi="Book Antiqua"/>
          </w:rPr>
          <w:t>https://www.evawintl.org/Library/DocumentLibraryHandler.ashx?id=934</w:t>
        </w:r>
      </w:hyperlink>
    </w:p>
    <w:p w:rsidR="00460307" w:rsidRDefault="00460307" w:rsidP="00462850">
      <w:pPr>
        <w:numPr>
          <w:ilvl w:val="1"/>
          <w:numId w:val="2"/>
        </w:numPr>
        <w:rPr>
          <w:rFonts w:ascii="Book Antiqua" w:hAnsi="Book Antiqua"/>
        </w:rPr>
      </w:pPr>
      <w:r>
        <w:rPr>
          <w:rFonts w:ascii="Book Antiqua" w:hAnsi="Book Antiqua"/>
        </w:rPr>
        <w:t xml:space="preserve">Part 2 at </w:t>
      </w:r>
      <w:hyperlink r:id="rId10" w:history="1">
        <w:r w:rsidRPr="009D6318">
          <w:rPr>
            <w:rStyle w:val="Hyperlink"/>
            <w:rFonts w:ascii="Book Antiqua" w:hAnsi="Book Antiqua"/>
          </w:rPr>
          <w:t>https://www.evawintl.org/Library/DocumentLibraryHandler.ashx?id=934</w:t>
        </w:r>
      </w:hyperlink>
    </w:p>
    <w:p w:rsidR="00460307" w:rsidRDefault="00460307" w:rsidP="00460307">
      <w:pPr>
        <w:numPr>
          <w:ilvl w:val="1"/>
          <w:numId w:val="2"/>
        </w:numPr>
        <w:rPr>
          <w:rFonts w:ascii="Book Antiqua" w:hAnsi="Book Antiqua"/>
        </w:rPr>
      </w:pPr>
      <w:r>
        <w:rPr>
          <w:rFonts w:ascii="Book Antiqua" w:hAnsi="Book Antiqua"/>
        </w:rPr>
        <w:t xml:space="preserve">Part 3 at </w:t>
      </w:r>
      <w:hyperlink r:id="rId11" w:history="1">
        <w:r w:rsidRPr="009D6318">
          <w:rPr>
            <w:rStyle w:val="Hyperlink"/>
            <w:rFonts w:ascii="Book Antiqua" w:hAnsi="Book Antiqua"/>
          </w:rPr>
          <w:t>https://www.evawintl.org/Library/DocumentLibraryHandler.ashx?id=940</w:t>
        </w:r>
      </w:hyperlink>
    </w:p>
    <w:p w:rsidR="00460307" w:rsidRDefault="00460307" w:rsidP="00B84DA6">
      <w:pPr>
        <w:numPr>
          <w:ilvl w:val="1"/>
          <w:numId w:val="2"/>
        </w:numPr>
        <w:rPr>
          <w:rFonts w:ascii="Book Antiqua" w:hAnsi="Book Antiqua"/>
        </w:rPr>
      </w:pPr>
      <w:r w:rsidRPr="00460307">
        <w:rPr>
          <w:rFonts w:ascii="Book Antiqua" w:hAnsi="Book Antiqua"/>
        </w:rPr>
        <w:t xml:space="preserve">Part 4 at </w:t>
      </w:r>
      <w:hyperlink r:id="rId12" w:history="1">
        <w:r w:rsidR="00280DAC" w:rsidRPr="009D6318">
          <w:rPr>
            <w:rStyle w:val="Hyperlink"/>
            <w:rFonts w:ascii="Book Antiqua" w:hAnsi="Book Antiqua"/>
          </w:rPr>
          <w:t>https://www.evawintl.org/Library/DocumentLibraryHandler.ashx?id=948</w:t>
        </w:r>
      </w:hyperlink>
      <w:r w:rsidR="00280DAC">
        <w:rPr>
          <w:rFonts w:ascii="Book Antiqua" w:hAnsi="Book Antiqua"/>
        </w:rPr>
        <w:t xml:space="preserve"> </w:t>
      </w:r>
      <w:bookmarkStart w:id="0" w:name="_GoBack"/>
      <w:bookmarkEnd w:id="0"/>
    </w:p>
    <w:p w:rsidR="00460307" w:rsidRDefault="00460307" w:rsidP="00462850">
      <w:pPr>
        <w:numPr>
          <w:ilvl w:val="0"/>
          <w:numId w:val="2"/>
        </w:numPr>
        <w:rPr>
          <w:rFonts w:ascii="Book Antiqua" w:hAnsi="Book Antiqua"/>
        </w:rPr>
      </w:pPr>
      <w:r>
        <w:rPr>
          <w:rFonts w:ascii="Book Antiqua" w:hAnsi="Book Antiqua"/>
        </w:rPr>
        <w:t>Review the webinar and materials from the joint DOJ and EVAWI training at</w:t>
      </w:r>
    </w:p>
    <w:p w:rsidR="00460307" w:rsidRDefault="003A546D" w:rsidP="003A546D">
      <w:pPr>
        <w:numPr>
          <w:ilvl w:val="1"/>
          <w:numId w:val="2"/>
        </w:numPr>
        <w:rPr>
          <w:rFonts w:ascii="Book Antiqua" w:hAnsi="Book Antiqua"/>
        </w:rPr>
      </w:pPr>
      <w:hyperlink r:id="rId13" w:history="1">
        <w:r w:rsidRPr="009D6318">
          <w:rPr>
            <w:rStyle w:val="Hyperlink"/>
            <w:rFonts w:ascii="Book Antiqua" w:hAnsi="Book Antiqua"/>
          </w:rPr>
          <w:t>https://www.theiacp.org/resources/document/addressing-and-preventing-gender-bias-infographic</w:t>
        </w:r>
      </w:hyperlink>
    </w:p>
    <w:p w:rsidR="002D173A" w:rsidRDefault="002D173A" w:rsidP="003A546D">
      <w:pPr>
        <w:numPr>
          <w:ilvl w:val="1"/>
          <w:numId w:val="2"/>
        </w:numPr>
        <w:rPr>
          <w:rFonts w:ascii="Book Antiqua" w:hAnsi="Book Antiqua"/>
        </w:rPr>
      </w:pPr>
      <w:hyperlink r:id="rId14" w:history="1">
        <w:r w:rsidRPr="009D6318">
          <w:rPr>
            <w:rStyle w:val="Hyperlink"/>
            <w:rFonts w:ascii="Book Antiqua" w:hAnsi="Book Antiqua"/>
          </w:rPr>
          <w:t>https://www.justice.gov/opa/file/799366/download</w:t>
        </w:r>
      </w:hyperlink>
    </w:p>
    <w:p w:rsidR="00462850" w:rsidRDefault="00462850"/>
    <w:sectPr w:rsidR="00462850">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307" w:rsidRDefault="00460307" w:rsidP="00460307">
      <w:pPr>
        <w:spacing w:after="0" w:line="240" w:lineRule="auto"/>
      </w:pPr>
      <w:r>
        <w:separator/>
      </w:r>
    </w:p>
  </w:endnote>
  <w:endnote w:type="continuationSeparator" w:id="0">
    <w:p w:rsidR="00460307" w:rsidRDefault="00460307" w:rsidP="00460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803471"/>
      <w:docPartObj>
        <w:docPartGallery w:val="Page Numbers (Bottom of Page)"/>
        <w:docPartUnique/>
      </w:docPartObj>
    </w:sdtPr>
    <w:sdtEndPr>
      <w:rPr>
        <w:noProof/>
      </w:rPr>
    </w:sdtEndPr>
    <w:sdtContent>
      <w:p w:rsidR="008D5603" w:rsidRDefault="008D560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D5603" w:rsidRDefault="008D5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307" w:rsidRDefault="00460307" w:rsidP="00460307">
      <w:pPr>
        <w:spacing w:after="0" w:line="240" w:lineRule="auto"/>
      </w:pPr>
      <w:r>
        <w:separator/>
      </w:r>
    </w:p>
  </w:footnote>
  <w:footnote w:type="continuationSeparator" w:id="0">
    <w:p w:rsidR="00460307" w:rsidRDefault="00460307" w:rsidP="00460307">
      <w:pPr>
        <w:spacing w:after="0" w:line="240" w:lineRule="auto"/>
      </w:pPr>
      <w:r>
        <w:continuationSeparator/>
      </w:r>
    </w:p>
  </w:footnote>
  <w:footnote w:id="1">
    <w:p w:rsidR="00460307" w:rsidRDefault="00460307">
      <w:pPr>
        <w:pStyle w:val="FootnoteText"/>
      </w:pPr>
      <w:r>
        <w:rPr>
          <w:rStyle w:val="FootnoteReference"/>
        </w:rPr>
        <w:footnoteRef/>
      </w:r>
      <w:r>
        <w:t xml:space="preserve"> </w:t>
      </w:r>
      <w:r w:rsidRPr="002D173A">
        <w:rPr>
          <w:rFonts w:ascii="Book Antiqua" w:hAnsi="Book Antiqua"/>
        </w:rPr>
        <w:t xml:space="preserve">An archives version of the DOJ OVM notes these training materials at </w:t>
      </w:r>
      <w:hyperlink r:id="rId1" w:history="1">
        <w:r w:rsidRPr="002D173A">
          <w:rPr>
            <w:rStyle w:val="Hyperlink"/>
            <w:rFonts w:ascii="Book Antiqua" w:hAnsi="Book Antiqua"/>
          </w:rPr>
          <w:t>https://www.justice.gov/archives/ovw/identifying-and-preventing-gender-bias</w:t>
        </w:r>
      </w:hyperlink>
      <w:r w:rsidRPr="002D173A">
        <w:rPr>
          <w:rFonts w:ascii="Book Antiqua" w:hAnsi="Book Antiqua"/>
        </w:rPr>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C63FA"/>
    <w:multiLevelType w:val="hybridMultilevel"/>
    <w:tmpl w:val="69BE1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3DA0FE7"/>
    <w:multiLevelType w:val="hybridMultilevel"/>
    <w:tmpl w:val="A57039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2C5899"/>
    <w:multiLevelType w:val="hybridMultilevel"/>
    <w:tmpl w:val="574EC7B2"/>
    <w:lvl w:ilvl="0" w:tplc="98DA4F3A">
      <w:start w:val="1"/>
      <w:numFmt w:val="bullet"/>
      <w:lvlText w:val="–"/>
      <w:lvlJc w:val="left"/>
      <w:pPr>
        <w:tabs>
          <w:tab w:val="num" w:pos="360"/>
        </w:tabs>
        <w:ind w:left="360" w:hanging="360"/>
      </w:pPr>
      <w:rPr>
        <w:rFonts w:ascii="Century Gothic" w:hAnsi="Century Gothic" w:hint="default"/>
      </w:rPr>
    </w:lvl>
    <w:lvl w:ilvl="1" w:tplc="CE7AA252">
      <w:start w:val="1"/>
      <w:numFmt w:val="bullet"/>
      <w:lvlText w:val="–"/>
      <w:lvlJc w:val="left"/>
      <w:pPr>
        <w:tabs>
          <w:tab w:val="num" w:pos="1080"/>
        </w:tabs>
        <w:ind w:left="1080" w:hanging="360"/>
      </w:pPr>
      <w:rPr>
        <w:rFonts w:ascii="Century Gothic" w:hAnsi="Century Gothic" w:hint="default"/>
      </w:rPr>
    </w:lvl>
    <w:lvl w:ilvl="2" w:tplc="D278BEE6">
      <w:numFmt w:val="bullet"/>
      <w:lvlText w:val="–"/>
      <w:lvlJc w:val="left"/>
      <w:pPr>
        <w:tabs>
          <w:tab w:val="num" w:pos="1800"/>
        </w:tabs>
        <w:ind w:left="1800" w:hanging="360"/>
      </w:pPr>
      <w:rPr>
        <w:rFonts w:ascii="Century Gothic" w:hAnsi="Century Gothic" w:hint="default"/>
      </w:rPr>
    </w:lvl>
    <w:lvl w:ilvl="3" w:tplc="073A8CBA" w:tentative="1">
      <w:start w:val="1"/>
      <w:numFmt w:val="bullet"/>
      <w:lvlText w:val="–"/>
      <w:lvlJc w:val="left"/>
      <w:pPr>
        <w:tabs>
          <w:tab w:val="num" w:pos="2520"/>
        </w:tabs>
        <w:ind w:left="2520" w:hanging="360"/>
      </w:pPr>
      <w:rPr>
        <w:rFonts w:ascii="Century Gothic" w:hAnsi="Century Gothic" w:hint="default"/>
      </w:rPr>
    </w:lvl>
    <w:lvl w:ilvl="4" w:tplc="2E8C30A2" w:tentative="1">
      <w:start w:val="1"/>
      <w:numFmt w:val="bullet"/>
      <w:lvlText w:val="–"/>
      <w:lvlJc w:val="left"/>
      <w:pPr>
        <w:tabs>
          <w:tab w:val="num" w:pos="3240"/>
        </w:tabs>
        <w:ind w:left="3240" w:hanging="360"/>
      </w:pPr>
      <w:rPr>
        <w:rFonts w:ascii="Century Gothic" w:hAnsi="Century Gothic" w:hint="default"/>
      </w:rPr>
    </w:lvl>
    <w:lvl w:ilvl="5" w:tplc="135052DC" w:tentative="1">
      <w:start w:val="1"/>
      <w:numFmt w:val="bullet"/>
      <w:lvlText w:val="–"/>
      <w:lvlJc w:val="left"/>
      <w:pPr>
        <w:tabs>
          <w:tab w:val="num" w:pos="3960"/>
        </w:tabs>
        <w:ind w:left="3960" w:hanging="360"/>
      </w:pPr>
      <w:rPr>
        <w:rFonts w:ascii="Century Gothic" w:hAnsi="Century Gothic" w:hint="default"/>
      </w:rPr>
    </w:lvl>
    <w:lvl w:ilvl="6" w:tplc="40F08444" w:tentative="1">
      <w:start w:val="1"/>
      <w:numFmt w:val="bullet"/>
      <w:lvlText w:val="–"/>
      <w:lvlJc w:val="left"/>
      <w:pPr>
        <w:tabs>
          <w:tab w:val="num" w:pos="4680"/>
        </w:tabs>
        <w:ind w:left="4680" w:hanging="360"/>
      </w:pPr>
      <w:rPr>
        <w:rFonts w:ascii="Century Gothic" w:hAnsi="Century Gothic" w:hint="default"/>
      </w:rPr>
    </w:lvl>
    <w:lvl w:ilvl="7" w:tplc="C4CA3202" w:tentative="1">
      <w:start w:val="1"/>
      <w:numFmt w:val="bullet"/>
      <w:lvlText w:val="–"/>
      <w:lvlJc w:val="left"/>
      <w:pPr>
        <w:tabs>
          <w:tab w:val="num" w:pos="5400"/>
        </w:tabs>
        <w:ind w:left="5400" w:hanging="360"/>
      </w:pPr>
      <w:rPr>
        <w:rFonts w:ascii="Century Gothic" w:hAnsi="Century Gothic" w:hint="default"/>
      </w:rPr>
    </w:lvl>
    <w:lvl w:ilvl="8" w:tplc="D8DE7C54" w:tentative="1">
      <w:start w:val="1"/>
      <w:numFmt w:val="bullet"/>
      <w:lvlText w:val="–"/>
      <w:lvlJc w:val="left"/>
      <w:pPr>
        <w:tabs>
          <w:tab w:val="num" w:pos="6120"/>
        </w:tabs>
        <w:ind w:left="6120" w:hanging="360"/>
      </w:pPr>
      <w:rPr>
        <w:rFonts w:ascii="Century Gothic" w:hAnsi="Century Gothic"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850"/>
    <w:rsid w:val="00280DAC"/>
    <w:rsid w:val="002D173A"/>
    <w:rsid w:val="00314F0A"/>
    <w:rsid w:val="0034684B"/>
    <w:rsid w:val="003A546D"/>
    <w:rsid w:val="00460307"/>
    <w:rsid w:val="00462850"/>
    <w:rsid w:val="0051771E"/>
    <w:rsid w:val="005C7F3C"/>
    <w:rsid w:val="006E6F0B"/>
    <w:rsid w:val="008D5603"/>
    <w:rsid w:val="00A72315"/>
    <w:rsid w:val="00A8102E"/>
    <w:rsid w:val="00B13070"/>
    <w:rsid w:val="00B16B8B"/>
    <w:rsid w:val="00DC7706"/>
    <w:rsid w:val="00E50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31F48"/>
  <w15:chartTrackingRefBased/>
  <w15:docId w15:val="{2AF4AB92-6F9F-490B-B5F6-6BA7762EC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850"/>
    <w:rPr>
      <w:color w:val="0563C1" w:themeColor="hyperlink"/>
      <w:u w:val="single"/>
    </w:rPr>
  </w:style>
  <w:style w:type="character" w:styleId="UnresolvedMention">
    <w:name w:val="Unresolved Mention"/>
    <w:basedOn w:val="DefaultParagraphFont"/>
    <w:uiPriority w:val="99"/>
    <w:semiHidden/>
    <w:unhideWhenUsed/>
    <w:rsid w:val="00462850"/>
    <w:rPr>
      <w:color w:val="605E5C"/>
      <w:shd w:val="clear" w:color="auto" w:fill="E1DFDD"/>
    </w:rPr>
  </w:style>
  <w:style w:type="paragraph" w:customStyle="1" w:styleId="Default">
    <w:name w:val="Default"/>
    <w:rsid w:val="0046285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62850"/>
    <w:pPr>
      <w:ind w:left="720"/>
      <w:contextualSpacing/>
    </w:pPr>
  </w:style>
  <w:style w:type="character" w:styleId="FollowedHyperlink">
    <w:name w:val="FollowedHyperlink"/>
    <w:basedOn w:val="DefaultParagraphFont"/>
    <w:uiPriority w:val="99"/>
    <w:semiHidden/>
    <w:unhideWhenUsed/>
    <w:rsid w:val="00460307"/>
    <w:rPr>
      <w:color w:val="954F72" w:themeColor="followedHyperlink"/>
      <w:u w:val="single"/>
    </w:rPr>
  </w:style>
  <w:style w:type="paragraph" w:styleId="FootnoteText">
    <w:name w:val="footnote text"/>
    <w:basedOn w:val="Normal"/>
    <w:link w:val="FootnoteTextChar"/>
    <w:uiPriority w:val="99"/>
    <w:semiHidden/>
    <w:unhideWhenUsed/>
    <w:rsid w:val="004603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0307"/>
    <w:rPr>
      <w:sz w:val="20"/>
      <w:szCs w:val="20"/>
    </w:rPr>
  </w:style>
  <w:style w:type="character" w:styleId="FootnoteReference">
    <w:name w:val="footnote reference"/>
    <w:basedOn w:val="DefaultParagraphFont"/>
    <w:uiPriority w:val="99"/>
    <w:semiHidden/>
    <w:unhideWhenUsed/>
    <w:rsid w:val="00460307"/>
    <w:rPr>
      <w:vertAlign w:val="superscript"/>
    </w:rPr>
  </w:style>
  <w:style w:type="paragraph" w:styleId="Header">
    <w:name w:val="header"/>
    <w:basedOn w:val="Normal"/>
    <w:link w:val="HeaderChar"/>
    <w:uiPriority w:val="99"/>
    <w:unhideWhenUsed/>
    <w:rsid w:val="008D56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603"/>
  </w:style>
  <w:style w:type="paragraph" w:styleId="Footer">
    <w:name w:val="footer"/>
    <w:basedOn w:val="Normal"/>
    <w:link w:val="FooterChar"/>
    <w:uiPriority w:val="99"/>
    <w:unhideWhenUsed/>
    <w:rsid w:val="008D56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05334">
      <w:bodyDiv w:val="1"/>
      <w:marLeft w:val="0"/>
      <w:marRight w:val="0"/>
      <w:marTop w:val="0"/>
      <w:marBottom w:val="0"/>
      <w:divBdr>
        <w:top w:val="none" w:sz="0" w:space="0" w:color="auto"/>
        <w:left w:val="none" w:sz="0" w:space="0" w:color="auto"/>
        <w:bottom w:val="none" w:sz="0" w:space="0" w:color="auto"/>
        <w:right w:val="none" w:sz="0" w:space="0" w:color="auto"/>
      </w:divBdr>
      <w:divsChild>
        <w:div w:id="161091725">
          <w:marLeft w:val="1152"/>
          <w:marRight w:val="0"/>
          <w:marTop w:val="213"/>
          <w:marBottom w:val="0"/>
          <w:divBdr>
            <w:top w:val="none" w:sz="0" w:space="0" w:color="auto"/>
            <w:left w:val="none" w:sz="0" w:space="0" w:color="auto"/>
            <w:bottom w:val="none" w:sz="0" w:space="0" w:color="auto"/>
            <w:right w:val="none" w:sz="0" w:space="0" w:color="auto"/>
          </w:divBdr>
        </w:div>
        <w:div w:id="1415012387">
          <w:marLeft w:val="1829"/>
          <w:marRight w:val="0"/>
          <w:marTop w:val="213"/>
          <w:marBottom w:val="0"/>
          <w:divBdr>
            <w:top w:val="none" w:sz="0" w:space="0" w:color="auto"/>
            <w:left w:val="none" w:sz="0" w:space="0" w:color="auto"/>
            <w:bottom w:val="none" w:sz="0" w:space="0" w:color="auto"/>
            <w:right w:val="none" w:sz="0" w:space="0" w:color="auto"/>
          </w:divBdr>
        </w:div>
        <w:div w:id="830175803">
          <w:marLeft w:val="1152"/>
          <w:marRight w:val="0"/>
          <w:marTop w:val="213"/>
          <w:marBottom w:val="0"/>
          <w:divBdr>
            <w:top w:val="none" w:sz="0" w:space="0" w:color="auto"/>
            <w:left w:val="none" w:sz="0" w:space="0" w:color="auto"/>
            <w:bottom w:val="none" w:sz="0" w:space="0" w:color="auto"/>
            <w:right w:val="none" w:sz="0" w:space="0" w:color="auto"/>
          </w:divBdr>
        </w:div>
        <w:div w:id="582105613">
          <w:marLeft w:val="1152"/>
          <w:marRight w:val="0"/>
          <w:marTop w:val="213"/>
          <w:marBottom w:val="0"/>
          <w:divBdr>
            <w:top w:val="none" w:sz="0" w:space="0" w:color="auto"/>
            <w:left w:val="none" w:sz="0" w:space="0" w:color="auto"/>
            <w:bottom w:val="none" w:sz="0" w:space="0" w:color="auto"/>
            <w:right w:val="none" w:sz="0" w:space="0" w:color="auto"/>
          </w:divBdr>
        </w:div>
        <w:div w:id="1297106045">
          <w:marLeft w:val="1829"/>
          <w:marRight w:val="0"/>
          <w:marTop w:val="21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wnet.org/material/gender-bias-sexual-assault-response-and-investigation" TargetMode="External"/><Relationship Id="rId13" Type="http://schemas.openxmlformats.org/officeDocument/2006/relationships/hyperlink" Target="https://www.theiacp.org/resources/document/addressing-and-preventing-gender-bias-infographi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vawintl.org/Library/DocumentLibraryHandler.ashx?id=94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vawintl.org/Library/DocumentLibraryHandler.ashx?id=94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vawintl.org/Library/DocumentLibraryHandler.ashx?id=934" TargetMode="External"/><Relationship Id="rId4" Type="http://schemas.openxmlformats.org/officeDocument/2006/relationships/settings" Target="settings.xml"/><Relationship Id="rId9" Type="http://schemas.openxmlformats.org/officeDocument/2006/relationships/hyperlink" Target="https://www.evawintl.org/Library/DocumentLibraryHandler.ashx?id=934" TargetMode="External"/><Relationship Id="rId14" Type="http://schemas.openxmlformats.org/officeDocument/2006/relationships/hyperlink" Target="https://www.justice.gov/opa/file/799366/downloa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justice.gov/archives/ovw/identifying-and-preventing-gender-bi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7D09F-BD2D-4F45-A41B-A4D9C08E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Murphy-Wilfong</dc:creator>
  <cp:keywords/>
  <dc:description/>
  <cp:lastModifiedBy>Mackenzie Murphy-Wilfong</cp:lastModifiedBy>
  <cp:revision>11</cp:revision>
  <dcterms:created xsi:type="dcterms:W3CDTF">2020-07-19T17:44:00Z</dcterms:created>
  <dcterms:modified xsi:type="dcterms:W3CDTF">2020-07-19T18:35:00Z</dcterms:modified>
</cp:coreProperties>
</file>