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315" w:rsidRPr="00DA0607" w:rsidRDefault="00FC47DD" w:rsidP="00DA0607">
      <w:pPr>
        <w:jc w:val="center"/>
        <w:rPr>
          <w:rFonts w:ascii="Book Antiqua" w:hAnsi="Book Antiqua"/>
          <w:b/>
        </w:rPr>
      </w:pPr>
      <w:r w:rsidRPr="00DA0607">
        <w:rPr>
          <w:rFonts w:ascii="Book Antiqua" w:hAnsi="Book Antiqua"/>
          <w:b/>
        </w:rPr>
        <w:t>Title IX Final Rules Compliance Training</w:t>
      </w:r>
    </w:p>
    <w:p w:rsidR="00B31F74" w:rsidRPr="00DA0607" w:rsidRDefault="00B31F74" w:rsidP="00DA0607">
      <w:pPr>
        <w:jc w:val="center"/>
        <w:rPr>
          <w:rFonts w:ascii="Book Antiqua" w:eastAsia="Times New Roman" w:hAnsi="Book Antiqua" w:cs="Times New Roman"/>
          <w:b/>
        </w:rPr>
      </w:pPr>
      <w:r w:rsidRPr="00DA0607">
        <w:rPr>
          <w:rFonts w:ascii="Book Antiqua" w:eastAsia="Times New Roman" w:hAnsi="Book Antiqua" w:cs="Times New Roman"/>
          <w:b/>
        </w:rPr>
        <w:t>Relevance Draft</w:t>
      </w:r>
      <w:r w:rsidR="002443FF">
        <w:rPr>
          <w:rFonts w:ascii="Book Antiqua" w:eastAsia="Times New Roman" w:hAnsi="Book Antiqua" w:cs="Times New Roman"/>
          <w:b/>
        </w:rPr>
        <w:t xml:space="preserve"> Training</w:t>
      </w:r>
    </w:p>
    <w:p w:rsidR="00B31F74" w:rsidRDefault="00B31F74" w:rsidP="00DA0607">
      <w:pPr>
        <w:rPr>
          <w:rFonts w:ascii="Book Antiqua" w:eastAsia="Times New Roman" w:hAnsi="Book Antiqua" w:cs="Times New Roman"/>
        </w:rPr>
      </w:pPr>
      <w:r w:rsidRPr="00DA0607">
        <w:rPr>
          <w:rFonts w:ascii="Book Antiqua" w:eastAsia="Times New Roman" w:hAnsi="Book Antiqua" w:cs="Times New Roman"/>
        </w:rPr>
        <w:t xml:space="preserve">On May 19, 2020, the U.S. Department of Education issued Final Rules governing the Title IX grievance process, effective August 14, 2020. </w:t>
      </w:r>
      <w:r w:rsidR="00A22113">
        <w:rPr>
          <w:rFonts w:ascii="Book Antiqua" w:eastAsia="Times New Roman" w:hAnsi="Book Antiqua" w:cs="Times New Roman"/>
        </w:rPr>
        <w:t xml:space="preserve">  </w:t>
      </w:r>
      <w:r w:rsidRPr="00DA0607">
        <w:rPr>
          <w:rFonts w:ascii="Book Antiqua" w:eastAsia="Times New Roman" w:hAnsi="Book Antiqua" w:cs="Times New Roman"/>
        </w:rPr>
        <w:t xml:space="preserve">Any </w:t>
      </w:r>
      <w:r w:rsidR="00DA0607">
        <w:rPr>
          <w:rFonts w:ascii="Book Antiqua" w:eastAsia="Times New Roman" w:hAnsi="Book Antiqua" w:cs="Times New Roman"/>
        </w:rPr>
        <w:t xml:space="preserve">cross- examination </w:t>
      </w:r>
      <w:r w:rsidRPr="00DA0607">
        <w:rPr>
          <w:rFonts w:ascii="Book Antiqua" w:eastAsia="Times New Roman" w:hAnsi="Book Antiqua" w:cs="Times New Roman"/>
        </w:rPr>
        <w:t xml:space="preserve">question posed by the advisors must be evaluated for “relevance” in real time by the </w:t>
      </w:r>
      <w:r w:rsidR="00A22113">
        <w:rPr>
          <w:rFonts w:ascii="Book Antiqua" w:eastAsia="Times New Roman" w:hAnsi="Book Antiqua" w:cs="Times New Roman"/>
        </w:rPr>
        <w:t>decision maker</w:t>
      </w:r>
      <w:r w:rsidRPr="00DA0607">
        <w:rPr>
          <w:rFonts w:ascii="Book Antiqua" w:eastAsia="Times New Roman" w:hAnsi="Book Antiqua" w:cs="Times New Roman"/>
        </w:rPr>
        <w:t xml:space="preserve">. </w:t>
      </w:r>
      <w:r w:rsidR="00A22113">
        <w:rPr>
          <w:rFonts w:ascii="Book Antiqua" w:eastAsia="Times New Roman" w:hAnsi="Book Antiqua" w:cs="Times New Roman"/>
        </w:rPr>
        <w:t xml:space="preserve"> “</w:t>
      </w:r>
      <w:r w:rsidRPr="00DA0607">
        <w:rPr>
          <w:rFonts w:ascii="Book Antiqua" w:eastAsia="Times New Roman" w:hAnsi="Book Antiqua" w:cs="Times New Roman"/>
        </w:rPr>
        <w:t xml:space="preserve">Only relevant cross-examination and other questions may be asked of a party or witness. Before a complainant, respondent, or witness answers a cross-examination or other question, the decision-maker(s) must first determine whether the question is relevant and explain any decision to exclude a question as not relevant. </w:t>
      </w:r>
      <w:proofErr w:type="gramStart"/>
      <w:r w:rsidR="00DA0607">
        <w:rPr>
          <w:rFonts w:ascii="Book Antiqua" w:eastAsia="Times New Roman" w:hAnsi="Book Antiqua" w:cs="Times New Roman"/>
        </w:rPr>
        <w:t>“</w:t>
      </w:r>
      <w:r w:rsidR="00A22113">
        <w:rPr>
          <w:rFonts w:ascii="Book Antiqua" w:eastAsia="Times New Roman" w:hAnsi="Book Antiqua" w:cs="Times New Roman"/>
        </w:rPr>
        <w:t xml:space="preserve">  </w:t>
      </w:r>
      <w:r w:rsidR="00A22113" w:rsidRPr="00DA0607">
        <w:rPr>
          <w:rFonts w:ascii="Book Antiqua" w:eastAsia="Times New Roman" w:hAnsi="Book Antiqua" w:cs="Times New Roman"/>
        </w:rPr>
        <w:t>§</w:t>
      </w:r>
      <w:proofErr w:type="gramEnd"/>
      <w:r w:rsidR="00A22113" w:rsidRPr="00DA0607">
        <w:rPr>
          <w:rFonts w:ascii="Book Antiqua" w:eastAsia="Times New Roman" w:hAnsi="Book Antiqua" w:cs="Times New Roman"/>
        </w:rPr>
        <w:t>106.45(b)(6)(</w:t>
      </w:r>
      <w:proofErr w:type="spellStart"/>
      <w:r w:rsidR="00A22113" w:rsidRPr="00DA0607">
        <w:rPr>
          <w:rFonts w:ascii="Book Antiqua" w:eastAsia="Times New Roman" w:hAnsi="Book Antiqua" w:cs="Times New Roman"/>
        </w:rPr>
        <w:t>i</w:t>
      </w:r>
      <w:proofErr w:type="spellEnd"/>
      <w:r w:rsidR="00A22113" w:rsidRPr="00DA0607">
        <w:rPr>
          <w:rFonts w:ascii="Book Antiqua" w:eastAsia="Times New Roman" w:hAnsi="Book Antiqua" w:cs="Times New Roman"/>
        </w:rPr>
        <w:t>)</w:t>
      </w:r>
    </w:p>
    <w:p w:rsidR="00B31F74" w:rsidRPr="00DA0607" w:rsidRDefault="00B31F74" w:rsidP="00B31F74">
      <w:pPr>
        <w:rPr>
          <w:rFonts w:ascii="Book Antiqua" w:eastAsia="Times New Roman" w:hAnsi="Book Antiqua" w:cs="Times New Roman"/>
          <w:b/>
          <w:bCs/>
        </w:rPr>
      </w:pPr>
      <w:r w:rsidRPr="00DA0607">
        <w:rPr>
          <w:rFonts w:ascii="Book Antiqua" w:eastAsia="Times New Roman" w:hAnsi="Book Antiqua" w:cs="Times New Roman"/>
          <w:b/>
          <w:bCs/>
        </w:rPr>
        <w:t>What is a relevant question?</w:t>
      </w:r>
    </w:p>
    <w:p w:rsidR="00DA0607" w:rsidRPr="00A30522" w:rsidRDefault="00B31F74" w:rsidP="00B31F74">
      <w:pPr>
        <w:rPr>
          <w:rFonts w:ascii="Book Antiqua" w:eastAsia="Times New Roman" w:hAnsi="Book Antiqua" w:cs="Times New Roman"/>
        </w:rPr>
      </w:pPr>
      <w:r w:rsidRPr="00A30522">
        <w:rPr>
          <w:rFonts w:ascii="Book Antiqua" w:eastAsia="Times New Roman" w:hAnsi="Book Antiqua" w:cs="Times New Roman"/>
        </w:rPr>
        <w:t xml:space="preserve">The Department of Education encourages institutions to apply the “plain and ordinary meaning” of relevance in their determinations. 85 Fed. Reg. 30026, 30304 (May 19, 2020). </w:t>
      </w:r>
      <w:r w:rsidR="00DA0607" w:rsidRPr="00A30522">
        <w:rPr>
          <w:rFonts w:ascii="Book Antiqua" w:eastAsia="Times New Roman" w:hAnsi="Book Antiqua" w:cs="Times New Roman"/>
        </w:rPr>
        <w:t>A</w:t>
      </w:r>
      <w:r w:rsidRPr="00A30522">
        <w:rPr>
          <w:rFonts w:ascii="Book Antiqua" w:eastAsia="Times New Roman" w:hAnsi="Book Antiqua" w:cs="Times New Roman"/>
        </w:rPr>
        <w:t xml:space="preserve"> relevant question </w:t>
      </w:r>
      <w:r w:rsidR="00DA0607" w:rsidRPr="00A30522">
        <w:rPr>
          <w:rFonts w:ascii="Book Antiqua" w:eastAsia="Times New Roman" w:hAnsi="Book Antiqua" w:cs="Times New Roman"/>
        </w:rPr>
        <w:t>seek</w:t>
      </w:r>
      <w:r w:rsidR="00DA0607" w:rsidRPr="00A30522">
        <w:rPr>
          <w:rFonts w:ascii="Book Antiqua" w:eastAsia="Times New Roman" w:hAnsi="Book Antiqua" w:cs="Times New Roman"/>
        </w:rPr>
        <w:t xml:space="preserve">s to </w:t>
      </w:r>
      <w:r w:rsidR="00A22113" w:rsidRPr="00A30522">
        <w:rPr>
          <w:rFonts w:ascii="Book Antiqua" w:eastAsia="Times New Roman" w:hAnsi="Book Antiqua" w:cs="Times New Roman"/>
        </w:rPr>
        <w:t>elicit information</w:t>
      </w:r>
      <w:r w:rsidR="00DA0607" w:rsidRPr="00A30522">
        <w:rPr>
          <w:rFonts w:ascii="Book Antiqua" w:eastAsia="Times New Roman" w:hAnsi="Book Antiqua" w:cs="Times New Roman"/>
        </w:rPr>
        <w:t xml:space="preserve"> that will aid the decision-maker in making the underlying determination of </w:t>
      </w:r>
      <w:r w:rsidR="00A22113" w:rsidRPr="00A30522">
        <w:rPr>
          <w:rFonts w:ascii="Book Antiqua" w:eastAsia="Times New Roman" w:hAnsi="Book Antiqua" w:cs="Times New Roman"/>
        </w:rPr>
        <w:t>whether</w:t>
      </w:r>
      <w:r w:rsidR="00DA0607" w:rsidRPr="00A30522">
        <w:rPr>
          <w:rFonts w:ascii="Book Antiqua" w:eastAsia="Times New Roman" w:hAnsi="Book Antiqua" w:cs="Times New Roman"/>
        </w:rPr>
        <w:t xml:space="preserve"> an event/conduct did or did not occur. </w:t>
      </w:r>
      <w:r w:rsidR="00DA0607" w:rsidRPr="00A30522">
        <w:rPr>
          <w:rFonts w:ascii="Book Antiqua" w:eastAsia="Times New Roman" w:hAnsi="Book Antiqua" w:cs="Times New Roman"/>
        </w:rPr>
        <w:t xml:space="preserve"> </w:t>
      </w:r>
      <w:r w:rsidR="00A30522" w:rsidRPr="00A30522">
        <w:rPr>
          <w:rFonts w:ascii="Book Antiqua" w:hAnsi="Book Antiqua"/>
          <w:color w:val="333333"/>
          <w:shd w:val="clear" w:color="auto" w:fill="FFFFFF"/>
        </w:rPr>
        <w:t>The fact to which the evidence is directed need not be in dispute</w:t>
      </w:r>
      <w:r w:rsidR="00A30522" w:rsidRPr="00A30522">
        <w:rPr>
          <w:rFonts w:ascii="Book Antiqua" w:hAnsi="Book Antiqua"/>
          <w:color w:val="333333"/>
          <w:shd w:val="clear" w:color="auto" w:fill="FFFFFF"/>
        </w:rPr>
        <w:t>, often</w:t>
      </w:r>
      <w:r w:rsidR="00A30522" w:rsidRPr="00A30522">
        <w:rPr>
          <w:rFonts w:ascii="Book Antiqua" w:hAnsi="Book Antiqua"/>
          <w:color w:val="333333"/>
          <w:shd w:val="clear" w:color="auto" w:fill="FFFFFF"/>
        </w:rPr>
        <w:t xml:space="preserve"> background </w:t>
      </w:r>
      <w:r w:rsidR="00A30522" w:rsidRPr="00A30522">
        <w:rPr>
          <w:rFonts w:ascii="Book Antiqua" w:hAnsi="Book Antiqua"/>
          <w:color w:val="333333"/>
          <w:shd w:val="clear" w:color="auto" w:fill="FFFFFF"/>
        </w:rPr>
        <w:t xml:space="preserve">although it does not involve a disputed matter </w:t>
      </w:r>
      <w:r w:rsidR="00A30522" w:rsidRPr="00A30522">
        <w:rPr>
          <w:rFonts w:ascii="Book Antiqua" w:hAnsi="Book Antiqua"/>
          <w:color w:val="333333"/>
          <w:shd w:val="clear" w:color="auto" w:fill="FFFFFF"/>
        </w:rPr>
        <w:t xml:space="preserve">is </w:t>
      </w:r>
      <w:r w:rsidR="00A30522" w:rsidRPr="00A30522">
        <w:rPr>
          <w:rFonts w:ascii="Book Antiqua" w:hAnsi="Book Antiqua"/>
          <w:color w:val="333333"/>
          <w:shd w:val="clear" w:color="auto" w:fill="FFFFFF"/>
        </w:rPr>
        <w:t>often</w:t>
      </w:r>
      <w:r w:rsidR="00A30522" w:rsidRPr="00A30522">
        <w:rPr>
          <w:rFonts w:ascii="Book Antiqua" w:hAnsi="Book Antiqua"/>
          <w:color w:val="333333"/>
          <w:shd w:val="clear" w:color="auto" w:fill="FFFFFF"/>
        </w:rPr>
        <w:t xml:space="preserve"> offered as an aid to understanding</w:t>
      </w:r>
      <w:r w:rsidR="00A30522" w:rsidRPr="00A30522">
        <w:rPr>
          <w:rFonts w:ascii="Book Antiqua" w:hAnsi="Book Antiqua"/>
          <w:color w:val="333333"/>
          <w:shd w:val="clear" w:color="auto" w:fill="FFFFFF"/>
        </w:rPr>
        <w:t xml:space="preserve"> an event or circumstance</w:t>
      </w:r>
      <w:r w:rsidR="00A30522" w:rsidRPr="00A30522">
        <w:rPr>
          <w:rFonts w:ascii="Book Antiqua" w:hAnsi="Book Antiqua"/>
          <w:color w:val="333333"/>
          <w:shd w:val="clear" w:color="auto" w:fill="FFFFFF"/>
        </w:rPr>
        <w:t>.</w:t>
      </w:r>
      <w:r w:rsidR="00A30522" w:rsidRPr="00A30522">
        <w:rPr>
          <w:rFonts w:ascii="Book Antiqua" w:hAnsi="Book Antiqua"/>
          <w:color w:val="333333"/>
          <w:shd w:val="clear" w:color="auto" w:fill="FFFFFF"/>
        </w:rPr>
        <w:t xml:space="preserve">  </w:t>
      </w:r>
      <w:r w:rsidR="00A30522" w:rsidRPr="00A30522">
        <w:rPr>
          <w:rFonts w:ascii="Book Antiqua" w:hAnsi="Book Antiqua"/>
          <w:color w:val="333333"/>
          <w:shd w:val="clear" w:color="auto" w:fill="FFFFFF"/>
        </w:rPr>
        <w:t xml:space="preserve">A </w:t>
      </w:r>
      <w:r w:rsidR="00A30522" w:rsidRPr="00A30522">
        <w:rPr>
          <w:rFonts w:ascii="Book Antiqua" w:hAnsi="Book Antiqua"/>
          <w:color w:val="333333"/>
          <w:shd w:val="clear" w:color="auto" w:fill="FFFFFF"/>
        </w:rPr>
        <w:t>practice of limiting</w:t>
      </w:r>
      <w:r w:rsidR="00A30522" w:rsidRPr="00A30522">
        <w:rPr>
          <w:rFonts w:ascii="Book Antiqua" w:hAnsi="Book Antiqua"/>
          <w:color w:val="333333"/>
          <w:shd w:val="clear" w:color="auto" w:fill="FFFFFF"/>
        </w:rPr>
        <w:t xml:space="preserve"> evidence </w:t>
      </w:r>
      <w:r w:rsidR="00A30522" w:rsidRPr="00A30522">
        <w:rPr>
          <w:rFonts w:ascii="Book Antiqua" w:hAnsi="Book Antiqua"/>
          <w:color w:val="333333"/>
          <w:shd w:val="clear" w:color="auto" w:fill="FFFFFF"/>
        </w:rPr>
        <w:t xml:space="preserve">to only things that provide or disprove only </w:t>
      </w:r>
      <w:r w:rsidR="00A30522" w:rsidRPr="00A30522">
        <w:rPr>
          <w:rFonts w:ascii="Book Antiqua" w:hAnsi="Book Antiqua"/>
          <w:color w:val="333333"/>
          <w:shd w:val="clear" w:color="auto" w:fill="FFFFFF"/>
        </w:rPr>
        <w:t xml:space="preserve">controversial </w:t>
      </w:r>
      <w:r w:rsidR="00A30522" w:rsidRPr="00A30522">
        <w:rPr>
          <w:rFonts w:ascii="Book Antiqua" w:hAnsi="Book Antiqua"/>
          <w:color w:val="333333"/>
          <w:shd w:val="clear" w:color="auto" w:fill="FFFFFF"/>
        </w:rPr>
        <w:t xml:space="preserve">or disputed </w:t>
      </w:r>
      <w:r w:rsidR="00A30522" w:rsidRPr="00A30522">
        <w:rPr>
          <w:rFonts w:ascii="Book Antiqua" w:hAnsi="Book Antiqua"/>
          <w:color w:val="333333"/>
          <w:shd w:val="clear" w:color="auto" w:fill="FFFFFF"/>
        </w:rPr>
        <w:t>point</w:t>
      </w:r>
      <w:r w:rsidR="00A30522" w:rsidRPr="00A30522">
        <w:rPr>
          <w:rFonts w:ascii="Book Antiqua" w:hAnsi="Book Antiqua"/>
          <w:color w:val="333333"/>
          <w:shd w:val="clear" w:color="auto" w:fill="FFFFFF"/>
        </w:rPr>
        <w:t>s</w:t>
      </w:r>
      <w:r w:rsidR="00A30522" w:rsidRPr="00A30522">
        <w:rPr>
          <w:rFonts w:ascii="Book Antiqua" w:hAnsi="Book Antiqua"/>
          <w:color w:val="333333"/>
          <w:shd w:val="clear" w:color="auto" w:fill="FFFFFF"/>
        </w:rPr>
        <w:t xml:space="preserve"> would invite the exclusion of this helpful evidence</w:t>
      </w:r>
      <w:r w:rsidR="00A30522" w:rsidRPr="00A30522">
        <w:rPr>
          <w:rFonts w:ascii="Book Antiqua" w:hAnsi="Book Antiqua"/>
          <w:color w:val="333333"/>
          <w:shd w:val="clear" w:color="auto" w:fill="FFFFFF"/>
        </w:rPr>
        <w:t xml:space="preserve">.  See the commentary to Federal Rules of Evidence 401 Test for Relevant Evidence at </w:t>
      </w:r>
      <w:hyperlink r:id="rId8" w:history="1">
        <w:r w:rsidR="00A30522" w:rsidRPr="00A30522">
          <w:rPr>
            <w:rStyle w:val="Hyperlink"/>
            <w:rFonts w:ascii="Book Antiqua" w:hAnsi="Book Antiqua"/>
          </w:rPr>
          <w:t>https://www.law.cornell.edu/rules/fre/rule_401</w:t>
        </w:r>
      </w:hyperlink>
      <w:r w:rsidR="00DA425B">
        <w:rPr>
          <w:rStyle w:val="FootnoteReference"/>
          <w:rFonts w:ascii="Book Antiqua" w:hAnsi="Book Antiqua"/>
        </w:rPr>
        <w:footnoteReference w:id="1"/>
      </w:r>
    </w:p>
    <w:p w:rsidR="00B31F74" w:rsidRPr="00DA0607" w:rsidRDefault="00B31F74" w:rsidP="00B31F74">
      <w:pPr>
        <w:rPr>
          <w:rFonts w:ascii="Book Antiqua" w:eastAsia="Times New Roman" w:hAnsi="Book Antiqua" w:cs="Times New Roman"/>
          <w:b/>
          <w:bCs/>
        </w:rPr>
      </w:pPr>
      <w:r w:rsidRPr="00DA0607">
        <w:rPr>
          <w:rFonts w:ascii="Book Antiqua" w:eastAsia="Times New Roman" w:hAnsi="Book Antiqua" w:cs="Times New Roman"/>
          <w:b/>
          <w:bCs/>
        </w:rPr>
        <w:t>What if the question concerns sensitive issue?</w:t>
      </w:r>
    </w:p>
    <w:p w:rsidR="00B31F74" w:rsidRPr="00A1496D" w:rsidRDefault="00B31F74" w:rsidP="00B31F74">
      <w:pPr>
        <w:rPr>
          <w:rFonts w:ascii="Book Antiqua" w:eastAsia="Times New Roman" w:hAnsi="Book Antiqua" w:cs="Times New Roman"/>
        </w:rPr>
      </w:pPr>
      <w:r w:rsidRPr="00A1496D">
        <w:rPr>
          <w:rFonts w:ascii="Book Antiqua" w:eastAsia="Times New Roman" w:hAnsi="Book Antiqua" w:cs="Times New Roman"/>
        </w:rPr>
        <w:t xml:space="preserve">Much of the content within these hearings may be considered sensitive by parties or advisors. </w:t>
      </w:r>
      <w:r w:rsidR="00DA0607" w:rsidRPr="00A1496D">
        <w:rPr>
          <w:rFonts w:ascii="Book Antiqua" w:eastAsia="Times New Roman" w:hAnsi="Book Antiqua" w:cs="Times New Roman"/>
        </w:rPr>
        <w:t>R</w:t>
      </w:r>
      <w:r w:rsidRPr="00A1496D">
        <w:rPr>
          <w:rFonts w:ascii="Book Antiqua" w:eastAsia="Times New Roman" w:hAnsi="Book Antiqua" w:cs="Times New Roman"/>
        </w:rPr>
        <w:t xml:space="preserve">elevant questions need to be considered </w:t>
      </w:r>
      <w:r w:rsidRPr="00A1496D">
        <w:rPr>
          <w:rFonts w:ascii="Book Antiqua" w:eastAsia="Times New Roman" w:hAnsi="Book Antiqua" w:cs="Times New Roman"/>
          <w:i/>
          <w:iCs/>
        </w:rPr>
        <w:t>even if</w:t>
      </w:r>
      <w:r w:rsidRPr="00A1496D">
        <w:rPr>
          <w:rFonts w:ascii="Book Antiqua" w:eastAsia="Times New Roman" w:hAnsi="Book Antiqua" w:cs="Times New Roman"/>
        </w:rPr>
        <w:t xml:space="preserve"> a party or advisor believes the danger of unfair prejudice substantially outweighs their probative value.</w:t>
      </w:r>
      <w:r w:rsidR="00DA0607" w:rsidRPr="00A1496D">
        <w:rPr>
          <w:rFonts w:ascii="Book Antiqua" w:eastAsia="Times New Roman" w:hAnsi="Book Antiqua" w:cs="Times New Roman"/>
        </w:rPr>
        <w:t xml:space="preserve"> </w:t>
      </w:r>
      <w:r w:rsidR="00DA0607" w:rsidRPr="00A1496D">
        <w:rPr>
          <w:rFonts w:ascii="Book Antiqua" w:eastAsia="Times New Roman" w:hAnsi="Book Antiqua" w:cs="Times New Roman"/>
        </w:rPr>
        <w:t>85 Fed. Reg. 30026, 30294 (May 19, 2020).</w:t>
      </w:r>
      <w:r w:rsidRPr="00A1496D">
        <w:rPr>
          <w:rFonts w:ascii="Book Antiqua" w:eastAsia="Times New Roman" w:hAnsi="Book Antiqua" w:cs="Times New Roman"/>
        </w:rPr>
        <w:t xml:space="preserve"> </w:t>
      </w:r>
      <w:r w:rsidR="00DA0607" w:rsidRPr="00A1496D">
        <w:rPr>
          <w:rFonts w:ascii="Book Antiqua" w:eastAsia="Times New Roman" w:hAnsi="Book Antiqua" w:cs="Times New Roman"/>
        </w:rPr>
        <w:t xml:space="preserve">  </w:t>
      </w:r>
      <w:r w:rsidRPr="00A1496D">
        <w:rPr>
          <w:rFonts w:ascii="Book Antiqua" w:eastAsia="Times New Roman" w:hAnsi="Book Antiqua" w:cs="Times New Roman"/>
        </w:rPr>
        <w:t>Only irrelevant questions</w:t>
      </w:r>
      <w:r w:rsidR="00DA0607" w:rsidRPr="00A1496D">
        <w:rPr>
          <w:rFonts w:ascii="Book Antiqua" w:eastAsia="Times New Roman" w:hAnsi="Book Antiqua" w:cs="Times New Roman"/>
        </w:rPr>
        <w:t>,</w:t>
      </w:r>
      <w:r w:rsidRPr="00A1496D">
        <w:rPr>
          <w:rFonts w:ascii="Book Antiqua" w:eastAsia="Times New Roman" w:hAnsi="Book Antiqua" w:cs="Times New Roman"/>
        </w:rPr>
        <w:t xml:space="preserve"> including about the complainant’s prior sexual history, may be excluded.</w:t>
      </w:r>
    </w:p>
    <w:p w:rsidR="00B31F74" w:rsidRPr="00DA0607" w:rsidRDefault="00DA0607" w:rsidP="00B31F74">
      <w:pPr>
        <w:rPr>
          <w:rFonts w:ascii="Book Antiqua" w:eastAsia="Times New Roman" w:hAnsi="Book Antiqua" w:cs="Times New Roman"/>
          <w:b/>
          <w:bCs/>
        </w:rPr>
      </w:pPr>
      <w:r>
        <w:rPr>
          <w:rFonts w:ascii="Book Antiqua" w:eastAsia="Times New Roman" w:hAnsi="Book Antiqua" w:cs="Times New Roman"/>
          <w:b/>
          <w:bCs/>
        </w:rPr>
        <w:t>Common questions that may be</w:t>
      </w:r>
      <w:r w:rsidR="00B31F74" w:rsidRPr="00DA0607">
        <w:rPr>
          <w:rFonts w:ascii="Book Antiqua" w:eastAsia="Times New Roman" w:hAnsi="Book Antiqua" w:cs="Times New Roman"/>
          <w:b/>
          <w:bCs/>
        </w:rPr>
        <w:t xml:space="preserve"> irrelevant</w:t>
      </w:r>
    </w:p>
    <w:p w:rsidR="00B31F74" w:rsidRPr="00DA0607" w:rsidRDefault="00B31F74" w:rsidP="00B31F74">
      <w:pPr>
        <w:rPr>
          <w:rFonts w:ascii="Book Antiqua" w:eastAsia="Times New Roman" w:hAnsi="Book Antiqua" w:cs="Times New Roman"/>
          <w:i/>
          <w:iCs/>
        </w:rPr>
      </w:pPr>
      <w:r w:rsidRPr="00DA0607">
        <w:rPr>
          <w:rFonts w:ascii="Book Antiqua" w:eastAsia="Times New Roman" w:hAnsi="Book Antiqua" w:cs="Times New Roman"/>
          <w:i/>
          <w:iCs/>
        </w:rPr>
        <w:lastRenderedPageBreak/>
        <w:t>Question about Complainant’s Prior Sexual Behavior or Sexual Predisposition</w:t>
      </w:r>
    </w:p>
    <w:p w:rsidR="00B31F74" w:rsidRPr="00DA0607" w:rsidRDefault="00B31F74" w:rsidP="00B31F74">
      <w:pPr>
        <w:rPr>
          <w:rFonts w:ascii="Book Antiqua" w:eastAsia="Times New Roman" w:hAnsi="Book Antiqua" w:cs="Times New Roman"/>
        </w:rPr>
      </w:pPr>
      <w:r w:rsidRPr="00DA0607">
        <w:rPr>
          <w:rFonts w:ascii="Book Antiqua" w:eastAsia="Times New Roman" w:hAnsi="Book Antiqua" w:cs="Times New Roman"/>
        </w:rPr>
        <w:t xml:space="preserve">Questions and evidence about the </w:t>
      </w:r>
      <w:r w:rsidR="00A30522">
        <w:rPr>
          <w:rFonts w:ascii="Book Antiqua" w:eastAsia="Times New Roman" w:hAnsi="Book Antiqua" w:cs="Times New Roman"/>
        </w:rPr>
        <w:t>“</w:t>
      </w:r>
      <w:r w:rsidRPr="00DA0607">
        <w:rPr>
          <w:rFonts w:ascii="Book Antiqua" w:eastAsia="Times New Roman" w:hAnsi="Book Antiqua" w:cs="Times New Roman"/>
        </w:rPr>
        <w:t>complainant’s sexual predisposition or prior sexual behavior</w:t>
      </w:r>
      <w:r w:rsidR="00A30522">
        <w:rPr>
          <w:rFonts w:ascii="Book Antiqua" w:eastAsia="Times New Roman" w:hAnsi="Book Antiqua" w:cs="Times New Roman"/>
        </w:rPr>
        <w:t>”</w:t>
      </w:r>
      <w:r w:rsidR="00A30522">
        <w:rPr>
          <w:rStyle w:val="FootnoteReference"/>
          <w:rFonts w:ascii="Book Antiqua" w:eastAsia="Times New Roman" w:hAnsi="Book Antiqua" w:cs="Times New Roman"/>
        </w:rPr>
        <w:footnoteReference w:id="2"/>
      </w:r>
      <w:r w:rsidRPr="00DA0607">
        <w:rPr>
          <w:rFonts w:ascii="Book Antiqua" w:eastAsia="Times New Roman" w:hAnsi="Book Antiqua" w:cs="Times New Roman"/>
        </w:rPr>
        <w:t xml:space="preserve"> are not relevant, unless:</w:t>
      </w:r>
    </w:p>
    <w:p w:rsidR="00B31F74" w:rsidRPr="00DA0607" w:rsidRDefault="00B31F74" w:rsidP="00B31F74">
      <w:pPr>
        <w:pStyle w:val="ListParagraph"/>
        <w:numPr>
          <w:ilvl w:val="0"/>
          <w:numId w:val="1"/>
        </w:numPr>
        <w:rPr>
          <w:rFonts w:ascii="Book Antiqua" w:eastAsia="Times New Roman" w:hAnsi="Book Antiqua" w:cs="Times New Roman"/>
        </w:rPr>
      </w:pPr>
      <w:r w:rsidRPr="00DA0607">
        <w:rPr>
          <w:rFonts w:ascii="Book Antiqua" w:eastAsia="Times New Roman" w:hAnsi="Book Antiqua" w:cs="Times New Roman"/>
        </w:rPr>
        <w:t>such questions and evidence about the complainant’s prior sexual behavior</w:t>
      </w:r>
      <w:r w:rsidR="00A30522">
        <w:rPr>
          <w:rStyle w:val="FootnoteReference"/>
          <w:rFonts w:ascii="Book Antiqua" w:eastAsia="Times New Roman" w:hAnsi="Book Antiqua" w:cs="Times New Roman"/>
        </w:rPr>
        <w:footnoteReference w:id="3"/>
      </w:r>
      <w:r w:rsidRPr="00DA0607">
        <w:rPr>
          <w:rFonts w:ascii="Book Antiqua" w:eastAsia="Times New Roman" w:hAnsi="Book Antiqua" w:cs="Times New Roman"/>
        </w:rPr>
        <w:t xml:space="preserve"> are offered to prove that someone other than the respondent committed the conduct alleged by the complainant</w:t>
      </w:r>
      <w:r w:rsidR="00AA0201">
        <w:rPr>
          <w:rStyle w:val="FootnoteReference"/>
          <w:rFonts w:ascii="Book Antiqua" w:eastAsia="Times New Roman" w:hAnsi="Book Antiqua" w:cs="Times New Roman"/>
        </w:rPr>
        <w:footnoteReference w:id="4"/>
      </w:r>
      <w:r w:rsidRPr="00DA0607">
        <w:rPr>
          <w:rFonts w:ascii="Book Antiqua" w:eastAsia="Times New Roman" w:hAnsi="Book Antiqua" w:cs="Times New Roman"/>
        </w:rPr>
        <w:t>, or</w:t>
      </w:r>
    </w:p>
    <w:p w:rsidR="00B31F74" w:rsidRPr="00DA0607" w:rsidRDefault="00B31F74" w:rsidP="00B31F74">
      <w:pPr>
        <w:pStyle w:val="ListParagraph"/>
        <w:numPr>
          <w:ilvl w:val="0"/>
          <w:numId w:val="1"/>
        </w:numPr>
        <w:rPr>
          <w:rFonts w:ascii="Book Antiqua" w:eastAsia="Times New Roman" w:hAnsi="Book Antiqua" w:cs="Times New Roman"/>
        </w:rPr>
      </w:pPr>
      <w:r w:rsidRPr="00DA0607">
        <w:rPr>
          <w:rFonts w:ascii="Book Antiqua" w:eastAsia="Times New Roman" w:hAnsi="Book Antiqua" w:cs="Times New Roman"/>
        </w:rPr>
        <w:t>if the questions and evidence concern specific incidents of the complainant’s prior sexual behavior with respect to the respondent and are offered to prove consent. 34 C.F.R. § 106.45(6)(</w:t>
      </w:r>
      <w:proofErr w:type="spellStart"/>
      <w:r w:rsidRPr="00DA0607">
        <w:rPr>
          <w:rFonts w:ascii="Book Antiqua" w:eastAsia="Times New Roman" w:hAnsi="Book Antiqua" w:cs="Times New Roman"/>
        </w:rPr>
        <w:t>i</w:t>
      </w:r>
      <w:proofErr w:type="spellEnd"/>
      <w:r w:rsidRPr="00DA0607">
        <w:rPr>
          <w:rFonts w:ascii="Book Antiqua" w:eastAsia="Times New Roman" w:hAnsi="Book Antiqua" w:cs="Times New Roman"/>
        </w:rPr>
        <w:t>).</w:t>
      </w:r>
    </w:p>
    <w:p w:rsidR="00B31F74" w:rsidRPr="00DA0607" w:rsidRDefault="00B31F74" w:rsidP="00B31F74">
      <w:pPr>
        <w:rPr>
          <w:rFonts w:ascii="Book Antiqua" w:eastAsia="Times New Roman" w:hAnsi="Book Antiqua" w:cs="Times New Roman"/>
        </w:rPr>
      </w:pPr>
    </w:p>
    <w:p w:rsidR="00B31F74" w:rsidRPr="00DA0607" w:rsidRDefault="00B31F74" w:rsidP="00B31F74">
      <w:pPr>
        <w:rPr>
          <w:rFonts w:ascii="Book Antiqua" w:eastAsia="Times New Roman" w:hAnsi="Book Antiqua" w:cs="Times New Roman"/>
          <w:i/>
          <w:iCs/>
        </w:rPr>
      </w:pPr>
      <w:r w:rsidRPr="00DA0607">
        <w:rPr>
          <w:rFonts w:ascii="Book Antiqua" w:eastAsia="Times New Roman" w:hAnsi="Book Antiqua" w:cs="Times New Roman"/>
          <w:i/>
          <w:iCs/>
        </w:rPr>
        <w:t>Question regarding Privileged Information</w:t>
      </w:r>
    </w:p>
    <w:p w:rsidR="00B31F74" w:rsidRPr="00DA0607" w:rsidRDefault="00B31F74" w:rsidP="00B31F74">
      <w:pPr>
        <w:rPr>
          <w:rFonts w:ascii="Book Antiqua" w:eastAsia="Times New Roman" w:hAnsi="Book Antiqua" w:cs="Times New Roman"/>
        </w:rPr>
      </w:pPr>
      <w:r w:rsidRPr="00DA0607">
        <w:rPr>
          <w:rFonts w:ascii="Book Antiqua" w:eastAsia="Times New Roman" w:hAnsi="Book Antiqua" w:cs="Times New Roman"/>
        </w:rPr>
        <w:t>Questions that constitute, or seek disclosure of, information protected under a legally-recognized privilege are irrelevant. 34 C.F.R. § 106.45(1)(x).</w:t>
      </w:r>
      <w:r w:rsidRPr="00DA0607">
        <w:rPr>
          <w:rFonts w:ascii="Book Antiqua" w:eastAsia="Times New Roman" w:hAnsi="Book Antiqua" w:cs="Times New Roman"/>
          <w:color w:val="313537"/>
        </w:rPr>
        <w:t xml:space="preserve"> </w:t>
      </w:r>
      <w:r w:rsidR="00FE29C5">
        <w:rPr>
          <w:rFonts w:ascii="Book Antiqua" w:eastAsia="Times New Roman" w:hAnsi="Book Antiqua" w:cs="Times New Roman"/>
          <w:color w:val="313537"/>
        </w:rPr>
        <w:t xml:space="preserve"> I</w:t>
      </w:r>
      <w:r w:rsidRPr="00DA0607">
        <w:rPr>
          <w:rFonts w:ascii="Book Antiqua" w:eastAsia="Times New Roman" w:hAnsi="Book Antiqua" w:cs="Times New Roman"/>
        </w:rPr>
        <w:t>ndividuals with legal privilege may include medical providers (physician, dentist, podiatrist, chiropractor, nurse), psychologists, clergy</w:t>
      </w:r>
      <w:r w:rsidR="009359F3">
        <w:rPr>
          <w:rStyle w:val="FootnoteReference"/>
          <w:rFonts w:ascii="Book Antiqua" w:eastAsia="Times New Roman" w:hAnsi="Book Antiqua" w:cs="Times New Roman"/>
        </w:rPr>
        <w:footnoteReference w:id="5"/>
      </w:r>
      <w:r w:rsidRPr="00DA0607">
        <w:rPr>
          <w:rFonts w:ascii="Book Antiqua" w:eastAsia="Times New Roman" w:hAnsi="Book Antiqua" w:cs="Times New Roman"/>
        </w:rPr>
        <w:t>, rape crisis counselors</w:t>
      </w:r>
      <w:r w:rsidR="00FE29C5">
        <w:rPr>
          <w:rStyle w:val="FootnoteReference"/>
          <w:rFonts w:ascii="Book Antiqua" w:eastAsia="Times New Roman" w:hAnsi="Book Antiqua" w:cs="Times New Roman"/>
        </w:rPr>
        <w:footnoteReference w:id="6"/>
      </w:r>
      <w:r w:rsidRPr="00DA0607">
        <w:rPr>
          <w:rFonts w:ascii="Book Antiqua" w:eastAsia="Times New Roman" w:hAnsi="Book Antiqua" w:cs="Times New Roman"/>
        </w:rPr>
        <w:t>, and social workers</w:t>
      </w:r>
      <w:r w:rsidR="00DA0607">
        <w:rPr>
          <w:rFonts w:ascii="Book Antiqua" w:eastAsia="Times New Roman" w:hAnsi="Book Antiqua" w:cs="Times New Roman"/>
        </w:rPr>
        <w:t>.</w:t>
      </w:r>
      <w:r w:rsidR="00FE29C5">
        <w:rPr>
          <w:rStyle w:val="FootnoteReference"/>
          <w:rFonts w:ascii="Book Antiqua" w:eastAsia="Times New Roman" w:hAnsi="Book Antiqua" w:cs="Times New Roman"/>
        </w:rPr>
        <w:footnoteReference w:id="7"/>
      </w:r>
    </w:p>
    <w:p w:rsidR="00B31F74" w:rsidRPr="00DA0607" w:rsidRDefault="00B31F74" w:rsidP="00B31F74">
      <w:pPr>
        <w:rPr>
          <w:rFonts w:ascii="Book Antiqua" w:eastAsia="Times New Roman" w:hAnsi="Book Antiqua" w:cs="Times New Roman"/>
          <w:i/>
          <w:iCs/>
        </w:rPr>
      </w:pPr>
      <w:r w:rsidRPr="00DA0607">
        <w:rPr>
          <w:rFonts w:ascii="Book Antiqua" w:eastAsia="Times New Roman" w:hAnsi="Book Antiqua" w:cs="Times New Roman"/>
          <w:i/>
          <w:iCs/>
        </w:rPr>
        <w:lastRenderedPageBreak/>
        <w:t>Questions about Undisclosed Medical Records</w:t>
      </w:r>
    </w:p>
    <w:p w:rsidR="00B31F74" w:rsidRPr="00DA0607" w:rsidRDefault="00B31F74" w:rsidP="00B31F74">
      <w:pPr>
        <w:rPr>
          <w:rFonts w:ascii="Book Antiqua" w:eastAsia="Times New Roman" w:hAnsi="Book Antiqua" w:cs="Times New Roman"/>
        </w:rPr>
      </w:pPr>
      <w:r w:rsidRPr="00DA0607">
        <w:rPr>
          <w:rFonts w:ascii="Book Antiqua" w:eastAsia="Times New Roman" w:hAnsi="Book Antiqua" w:cs="Times New Roman"/>
        </w:rPr>
        <w:t>Questions that call for information about any party’s medical, psychological, and similar records are irrelevant unless the party has given voluntary, written consent. 85 Fed. Reg. 30026, 30294 (M</w:t>
      </w:r>
      <w:bookmarkStart w:id="0" w:name="_GoBack"/>
      <w:bookmarkEnd w:id="0"/>
      <w:r w:rsidRPr="00DA0607">
        <w:rPr>
          <w:rFonts w:ascii="Book Antiqua" w:eastAsia="Times New Roman" w:hAnsi="Book Antiqua" w:cs="Times New Roman"/>
        </w:rPr>
        <w:t>ay 19, 2020).</w:t>
      </w:r>
    </w:p>
    <w:p w:rsidR="00B31F74" w:rsidRPr="00DA0607" w:rsidRDefault="00B31F74" w:rsidP="00B31F74">
      <w:pPr>
        <w:rPr>
          <w:rFonts w:ascii="Book Antiqua" w:eastAsia="Times New Roman" w:hAnsi="Book Antiqua" w:cs="Times New Roman"/>
        </w:rPr>
      </w:pPr>
      <w:r w:rsidRPr="00DA0607">
        <w:rPr>
          <w:rFonts w:ascii="Book Antiqua" w:eastAsia="Times New Roman" w:hAnsi="Book Antiqua" w:cs="Times New Roman"/>
          <w:i/>
          <w:iCs/>
        </w:rPr>
        <w:t>Duplicative Questions</w:t>
      </w:r>
    </w:p>
    <w:p w:rsidR="00B31F74" w:rsidRPr="00135AB1" w:rsidRDefault="00B31F74" w:rsidP="00B31F74">
      <w:pPr>
        <w:rPr>
          <w:rFonts w:ascii="Book Antiqua" w:eastAsia="Times New Roman" w:hAnsi="Book Antiqua" w:cs="Times New Roman"/>
        </w:rPr>
      </w:pPr>
      <w:r w:rsidRPr="00135AB1">
        <w:rPr>
          <w:rFonts w:ascii="Book Antiqua" w:eastAsia="Times New Roman" w:hAnsi="Book Antiqua" w:cs="Times New Roman"/>
        </w:rPr>
        <w:t>Questions that repeat, questions already asked by the decision-maker prior to cross-examination, or by a party’s advisor during cross-examination (and if part of your process, during direct examination), may be ruled duplicative, and therefore irrelevant.</w:t>
      </w:r>
      <w:r w:rsidR="00DA0607" w:rsidRPr="00135AB1">
        <w:rPr>
          <w:rFonts w:ascii="Book Antiqua" w:eastAsia="Times New Roman" w:hAnsi="Book Antiqua" w:cs="Times New Roman"/>
        </w:rPr>
        <w:t xml:space="preserve">  </w:t>
      </w:r>
      <w:r w:rsidR="00DA0607" w:rsidRPr="00135AB1">
        <w:rPr>
          <w:rFonts w:ascii="Book Antiqua" w:hAnsi="Book Antiqua" w:cs="Times New Roman"/>
          <w:i/>
          <w:iCs/>
        </w:rPr>
        <w:t xml:space="preserve">See </w:t>
      </w:r>
      <w:r w:rsidR="00DA0607" w:rsidRPr="00135AB1">
        <w:rPr>
          <w:rFonts w:ascii="Book Antiqua" w:eastAsia="Times New Roman" w:hAnsi="Book Antiqua" w:cs="Times New Roman"/>
        </w:rPr>
        <w:t>85 Fed. Reg. 30026, 30331 (May 19, 2020) (“nothing in the final regulations precludes a recipient from adopting and enforcing (so long as it is applied clearly, consistently, and equally to the parties) a rule that deems duplicative questions to be irrelevant”).</w:t>
      </w:r>
    </w:p>
    <w:p w:rsidR="00B31F74" w:rsidRPr="00DA0607" w:rsidRDefault="00B31F74" w:rsidP="00B31F74">
      <w:pPr>
        <w:rPr>
          <w:rFonts w:ascii="Book Antiqua" w:eastAsia="Times New Roman" w:hAnsi="Book Antiqua" w:cs="Times New Roman"/>
        </w:rPr>
      </w:pPr>
    </w:p>
    <w:p w:rsidR="00B31F74" w:rsidRPr="00DA0607" w:rsidRDefault="00B31F74" w:rsidP="00B31F74">
      <w:pPr>
        <w:rPr>
          <w:rFonts w:ascii="Book Antiqua" w:eastAsia="Times New Roman" w:hAnsi="Book Antiqua" w:cs="Times New Roman"/>
          <w:b/>
          <w:bCs/>
        </w:rPr>
      </w:pPr>
      <w:r w:rsidRPr="00DA0607">
        <w:rPr>
          <w:rFonts w:ascii="Book Antiqua" w:eastAsia="Times New Roman" w:hAnsi="Book Antiqua" w:cs="Times New Roman"/>
          <w:b/>
          <w:bCs/>
        </w:rPr>
        <w:t>How should the decision-maker reach a relevance determination?</w:t>
      </w:r>
    </w:p>
    <w:p w:rsidR="00DA0607" w:rsidRDefault="00B31F74" w:rsidP="00B31F74">
      <w:pPr>
        <w:rPr>
          <w:rFonts w:ascii="Book Antiqua" w:eastAsia="Times New Roman" w:hAnsi="Book Antiqua" w:cs="Times New Roman"/>
        </w:rPr>
      </w:pPr>
      <w:r w:rsidRPr="00DA0607">
        <w:rPr>
          <w:rFonts w:ascii="Book Antiqua" w:eastAsia="Times New Roman" w:hAnsi="Book Antiqua" w:cs="Times New Roman"/>
        </w:rPr>
        <w:t>If the decision-maker is a single individual, the decision-maker will be solely responsible for determining the relevance of the question before it is asked.</w:t>
      </w:r>
      <w:r w:rsidR="00DA0607">
        <w:rPr>
          <w:rFonts w:ascii="Book Antiqua" w:eastAsia="Times New Roman" w:hAnsi="Book Antiqua" w:cs="Times New Roman"/>
        </w:rPr>
        <w:t xml:space="preserve">  </w:t>
      </w:r>
      <w:r w:rsidRPr="00DA0607">
        <w:rPr>
          <w:rFonts w:ascii="Book Antiqua" w:eastAsia="Times New Roman" w:hAnsi="Book Antiqua" w:cs="Times New Roman"/>
        </w:rPr>
        <w:t>If the decision-maker is a panel, the panel’s Chair will make all determinations of relevance.</w:t>
      </w:r>
      <w:r w:rsidR="00DA0607">
        <w:rPr>
          <w:rFonts w:ascii="Book Antiqua" w:eastAsia="Times New Roman" w:hAnsi="Book Antiqua" w:cs="Times New Roman"/>
        </w:rPr>
        <w:t xml:space="preserve">  The determination should be made after a question is asked by an advisor and before the question is answered.  This will slow the pace of questions, and should be addressed in the hearing script.  </w:t>
      </w:r>
    </w:p>
    <w:p w:rsidR="00DD2C30" w:rsidRDefault="00DA0607" w:rsidP="00DA0607">
      <w:pPr>
        <w:pStyle w:val="ListParagraph"/>
        <w:numPr>
          <w:ilvl w:val="0"/>
          <w:numId w:val="4"/>
        </w:numPr>
        <w:rPr>
          <w:rFonts w:ascii="Book Antiqua" w:eastAsia="Times New Roman" w:hAnsi="Book Antiqua" w:cs="Times New Roman"/>
        </w:rPr>
      </w:pPr>
      <w:r>
        <w:rPr>
          <w:rFonts w:ascii="Book Antiqua" w:eastAsia="Times New Roman" w:hAnsi="Book Antiqua" w:cs="Times New Roman"/>
        </w:rPr>
        <w:t xml:space="preserve">How will this work in practice – tell your </w:t>
      </w:r>
      <w:r w:rsidR="00DD2C30">
        <w:rPr>
          <w:rFonts w:ascii="Book Antiqua" w:eastAsia="Times New Roman" w:hAnsi="Book Antiqua" w:cs="Times New Roman"/>
        </w:rPr>
        <w:t xml:space="preserve">decision makers how it should work – </w:t>
      </w:r>
    </w:p>
    <w:p w:rsidR="00DA0607" w:rsidRDefault="00DA0607" w:rsidP="00DD2C30">
      <w:pPr>
        <w:pStyle w:val="ListParagraph"/>
        <w:numPr>
          <w:ilvl w:val="1"/>
          <w:numId w:val="4"/>
        </w:numPr>
        <w:rPr>
          <w:rFonts w:ascii="Book Antiqua" w:eastAsia="Times New Roman" w:hAnsi="Book Antiqua" w:cs="Times New Roman"/>
        </w:rPr>
      </w:pPr>
      <w:r w:rsidRPr="00DA0607">
        <w:rPr>
          <w:rFonts w:ascii="Book Antiqua" w:eastAsia="Times New Roman" w:hAnsi="Book Antiqua" w:cs="Times New Roman"/>
        </w:rPr>
        <w:t xml:space="preserve">Will </w:t>
      </w:r>
      <w:r>
        <w:rPr>
          <w:rFonts w:ascii="Book Antiqua" w:eastAsia="Times New Roman" w:hAnsi="Book Antiqua" w:cs="Times New Roman"/>
        </w:rPr>
        <w:t>questions be allowed and a decision maker will say stop only when they deem the questions irrelevant and then make the relevance determination on the record</w:t>
      </w:r>
    </w:p>
    <w:p w:rsidR="00B31F74" w:rsidRPr="00DA0607" w:rsidRDefault="00DA0607" w:rsidP="00DD2C30">
      <w:pPr>
        <w:pStyle w:val="ListParagraph"/>
        <w:numPr>
          <w:ilvl w:val="1"/>
          <w:numId w:val="4"/>
        </w:numPr>
        <w:rPr>
          <w:rFonts w:ascii="Book Antiqua" w:eastAsia="Times New Roman" w:hAnsi="Book Antiqua" w:cs="Times New Roman"/>
        </w:rPr>
      </w:pPr>
      <w:proofErr w:type="gramStart"/>
      <w:r>
        <w:rPr>
          <w:rFonts w:ascii="Book Antiqua" w:eastAsia="Times New Roman" w:hAnsi="Book Antiqua" w:cs="Times New Roman"/>
        </w:rPr>
        <w:t xml:space="preserve">Will </w:t>
      </w:r>
      <w:r w:rsidRPr="00DA0607">
        <w:rPr>
          <w:rFonts w:ascii="Book Antiqua" w:eastAsia="Times New Roman" w:hAnsi="Book Antiqua" w:cs="Times New Roman"/>
        </w:rPr>
        <w:t xml:space="preserve"> </w:t>
      </w:r>
      <w:r w:rsidR="00DD2C30">
        <w:rPr>
          <w:rFonts w:ascii="Book Antiqua" w:eastAsia="Times New Roman" w:hAnsi="Book Antiqua" w:cs="Times New Roman"/>
        </w:rPr>
        <w:t>the</w:t>
      </w:r>
      <w:proofErr w:type="gramEnd"/>
      <w:r w:rsidR="00DD2C30">
        <w:rPr>
          <w:rFonts w:ascii="Book Antiqua" w:eastAsia="Times New Roman" w:hAnsi="Book Antiqua" w:cs="Times New Roman"/>
        </w:rPr>
        <w:t xml:space="preserve"> </w:t>
      </w:r>
      <w:r w:rsidRPr="00DA0607">
        <w:rPr>
          <w:rFonts w:ascii="Book Antiqua" w:eastAsia="Times New Roman" w:hAnsi="Book Antiqua" w:cs="Times New Roman"/>
        </w:rPr>
        <w:t xml:space="preserve">decision maker </w:t>
      </w:r>
      <w:r w:rsidR="00DD2C30">
        <w:rPr>
          <w:rFonts w:ascii="Book Antiqua" w:eastAsia="Times New Roman" w:hAnsi="Book Antiqua" w:cs="Times New Roman"/>
        </w:rPr>
        <w:t xml:space="preserve">consider each question and then tell the answering party to proceed if the question is relevant and guide them to not answer if the question is not.  </w:t>
      </w:r>
    </w:p>
    <w:p w:rsidR="00B31F74" w:rsidRPr="00DA0607" w:rsidRDefault="00B31F74" w:rsidP="00B31F74">
      <w:pPr>
        <w:rPr>
          <w:rFonts w:ascii="Book Antiqua" w:eastAsia="Times New Roman" w:hAnsi="Book Antiqua" w:cs="Times New Roman"/>
        </w:rPr>
      </w:pPr>
    </w:p>
    <w:p w:rsidR="00B31F74" w:rsidRPr="00DA0607" w:rsidRDefault="00A22113" w:rsidP="00B31F74">
      <w:pPr>
        <w:rPr>
          <w:rFonts w:ascii="Book Antiqua" w:eastAsia="Times New Roman" w:hAnsi="Book Antiqua" w:cs="Times New Roman"/>
          <w:b/>
          <w:bCs/>
        </w:rPr>
      </w:pPr>
      <w:r>
        <w:rPr>
          <w:rFonts w:ascii="Book Antiqua" w:eastAsia="Times New Roman" w:hAnsi="Book Antiqua" w:cs="Times New Roman"/>
          <w:b/>
          <w:bCs/>
        </w:rPr>
        <w:t xml:space="preserve">How lengthy should your determination be?  </w:t>
      </w:r>
    </w:p>
    <w:p w:rsidR="00B31F74" w:rsidRDefault="00B31F74" w:rsidP="00B31F74">
      <w:pPr>
        <w:rPr>
          <w:rFonts w:ascii="Book Antiqua" w:eastAsia="Times New Roman" w:hAnsi="Book Antiqua" w:cs="Times New Roman"/>
        </w:rPr>
      </w:pPr>
      <w:r w:rsidRPr="00DA0607">
        <w:rPr>
          <w:rFonts w:ascii="Book Antiqua" w:eastAsia="Times New Roman" w:hAnsi="Book Antiqua" w:cs="Times New Roman"/>
        </w:rPr>
        <w:t>The Department of Education explains that the Final Rule “does not require a decision-maker to give a lengthy or complicated explanation</w:t>
      </w:r>
      <w:r w:rsidR="00A22113">
        <w:rPr>
          <w:rFonts w:ascii="Book Antiqua" w:eastAsia="Times New Roman" w:hAnsi="Book Antiqua" w:cs="Times New Roman"/>
        </w:rPr>
        <w:t>…[I]</w:t>
      </w:r>
      <w:r w:rsidRPr="00DA0607">
        <w:rPr>
          <w:rFonts w:ascii="Book Antiqua" w:eastAsia="Times New Roman" w:hAnsi="Book Antiqua" w:cs="Times New Roman"/>
        </w:rPr>
        <w:t>t is sufficient, for example, for a decisionmaker to explain that a question is irrelevant because the question calls for prior sexual behavior information without meeting one of the two exceptions, or because the question asks about a detail that is not probative of any material fact concerning the allegations.” Id. at 30343.</w:t>
      </w:r>
    </w:p>
    <w:p w:rsidR="00A22113" w:rsidRDefault="00A22113" w:rsidP="00B31F74">
      <w:pPr>
        <w:rPr>
          <w:rFonts w:ascii="Book Antiqua" w:eastAsia="Times New Roman" w:hAnsi="Book Antiqua" w:cs="Times New Roman"/>
        </w:rPr>
      </w:pPr>
    </w:p>
    <w:p w:rsidR="00A1496D" w:rsidRDefault="00A1496D" w:rsidP="00B31F74">
      <w:pPr>
        <w:rPr>
          <w:rFonts w:ascii="Book Antiqua" w:eastAsia="Times New Roman" w:hAnsi="Book Antiqua" w:cs="Times New Roman"/>
        </w:rPr>
      </w:pPr>
    </w:p>
    <w:p w:rsidR="00A1496D" w:rsidRDefault="00A1496D" w:rsidP="00B31F74">
      <w:pPr>
        <w:rPr>
          <w:rFonts w:ascii="Book Antiqua" w:eastAsia="Times New Roman" w:hAnsi="Book Antiqua" w:cs="Times New Roman"/>
        </w:rPr>
      </w:pPr>
    </w:p>
    <w:p w:rsidR="00A1496D" w:rsidRDefault="00A1496D" w:rsidP="00B31F74">
      <w:pPr>
        <w:rPr>
          <w:rFonts w:ascii="Book Antiqua" w:eastAsia="Times New Roman" w:hAnsi="Book Antiqua" w:cs="Times New Roman"/>
        </w:rPr>
      </w:pPr>
    </w:p>
    <w:p w:rsidR="00A1496D" w:rsidRDefault="00A1496D" w:rsidP="00B31F74">
      <w:pPr>
        <w:rPr>
          <w:rFonts w:ascii="Book Antiqua" w:eastAsia="Times New Roman" w:hAnsi="Book Antiqua" w:cs="Times New Roman"/>
        </w:rPr>
      </w:pPr>
    </w:p>
    <w:p w:rsidR="007F2CC1" w:rsidRPr="00DA0607" w:rsidRDefault="007F2CC1" w:rsidP="007F2CC1">
      <w:pPr>
        <w:jc w:val="center"/>
        <w:rPr>
          <w:rFonts w:ascii="Book Antiqua" w:eastAsia="Times New Roman" w:hAnsi="Book Antiqua" w:cs="Times New Roman"/>
        </w:rPr>
      </w:pPr>
      <w:r w:rsidRPr="00DD2C30">
        <w:rPr>
          <w:rFonts w:ascii="Book Antiqua" w:eastAsia="Times New Roman" w:hAnsi="Book Antiqua" w:cs="Times New Roman"/>
          <w:b/>
        </w:rPr>
        <w:lastRenderedPageBreak/>
        <w:t>Options for explaining</w:t>
      </w:r>
      <w:r w:rsidR="00A22113">
        <w:rPr>
          <w:rFonts w:ascii="Book Antiqua" w:eastAsia="Times New Roman" w:hAnsi="Book Antiqua" w:cs="Times New Roman"/>
          <w:b/>
        </w:rPr>
        <w:t xml:space="preserve"> on the record </w:t>
      </w:r>
      <w:r w:rsidRPr="00DD2C30">
        <w:rPr>
          <w:rFonts w:ascii="Book Antiqua" w:eastAsia="Times New Roman" w:hAnsi="Book Antiqua" w:cs="Times New Roman"/>
          <w:b/>
        </w:rPr>
        <w:t>whether a question in relevant or not.</w:t>
      </w:r>
    </w:p>
    <w:tbl>
      <w:tblPr>
        <w:tblStyle w:val="TableGrid"/>
        <w:tblW w:w="10018" w:type="dxa"/>
        <w:tblLook w:val="04A0" w:firstRow="1" w:lastRow="0" w:firstColumn="1" w:lastColumn="0" w:noHBand="0" w:noVBand="1"/>
      </w:tblPr>
      <w:tblGrid>
        <w:gridCol w:w="1795"/>
        <w:gridCol w:w="3600"/>
        <w:gridCol w:w="4623"/>
      </w:tblGrid>
      <w:tr w:rsidR="007F2CC1" w:rsidTr="00A22113">
        <w:tc>
          <w:tcPr>
            <w:tcW w:w="1795" w:type="dxa"/>
            <w:shd w:val="clear" w:color="auto" w:fill="E7E6E6" w:themeFill="background2"/>
          </w:tcPr>
          <w:p w:rsidR="007F2CC1" w:rsidRDefault="007F2CC1" w:rsidP="007F2CC1">
            <w:pPr>
              <w:jc w:val="center"/>
              <w:rPr>
                <w:rFonts w:ascii="Book Antiqua" w:eastAsia="Times New Roman" w:hAnsi="Book Antiqua" w:cs="Times New Roman"/>
                <w:b/>
              </w:rPr>
            </w:pPr>
            <w:r>
              <w:rPr>
                <w:rFonts w:ascii="Book Antiqua" w:eastAsia="Times New Roman" w:hAnsi="Book Antiqua" w:cs="Times New Roman"/>
                <w:b/>
              </w:rPr>
              <w:t>Topic</w:t>
            </w:r>
          </w:p>
        </w:tc>
        <w:tc>
          <w:tcPr>
            <w:tcW w:w="3600" w:type="dxa"/>
            <w:shd w:val="clear" w:color="auto" w:fill="E7E6E6" w:themeFill="background2"/>
          </w:tcPr>
          <w:p w:rsidR="007F2CC1" w:rsidRDefault="007F2CC1" w:rsidP="007F2CC1">
            <w:pPr>
              <w:jc w:val="center"/>
              <w:rPr>
                <w:rFonts w:ascii="Book Antiqua" w:eastAsia="Times New Roman" w:hAnsi="Book Antiqua" w:cs="Times New Roman"/>
                <w:b/>
              </w:rPr>
            </w:pPr>
            <w:r>
              <w:rPr>
                <w:rFonts w:ascii="Book Antiqua" w:eastAsia="Times New Roman" w:hAnsi="Book Antiqua" w:cs="Times New Roman"/>
                <w:b/>
              </w:rPr>
              <w:t>Relevant</w:t>
            </w:r>
          </w:p>
        </w:tc>
        <w:tc>
          <w:tcPr>
            <w:tcW w:w="4623" w:type="dxa"/>
            <w:shd w:val="clear" w:color="auto" w:fill="E7E6E6" w:themeFill="background2"/>
          </w:tcPr>
          <w:p w:rsidR="007F2CC1" w:rsidRDefault="007F2CC1" w:rsidP="007F2CC1">
            <w:pPr>
              <w:jc w:val="center"/>
              <w:rPr>
                <w:rFonts w:ascii="Book Antiqua" w:eastAsia="Times New Roman" w:hAnsi="Book Antiqua" w:cs="Times New Roman"/>
                <w:b/>
              </w:rPr>
            </w:pPr>
            <w:r>
              <w:rPr>
                <w:rFonts w:ascii="Book Antiqua" w:eastAsia="Times New Roman" w:hAnsi="Book Antiqua" w:cs="Times New Roman"/>
                <w:b/>
              </w:rPr>
              <w:t>Not-Relevant</w:t>
            </w:r>
          </w:p>
        </w:tc>
      </w:tr>
      <w:tr w:rsidR="007F2CC1" w:rsidTr="00A22113">
        <w:tc>
          <w:tcPr>
            <w:tcW w:w="1795" w:type="dxa"/>
          </w:tcPr>
          <w:p w:rsidR="007F2CC1" w:rsidRPr="007F2CC1" w:rsidRDefault="007F2CC1" w:rsidP="007F2CC1">
            <w:pPr>
              <w:rPr>
                <w:rFonts w:ascii="Book Antiqua" w:eastAsia="Times New Roman" w:hAnsi="Book Antiqua" w:cs="Times New Roman"/>
                <w:iCs/>
              </w:rPr>
            </w:pPr>
            <w:r>
              <w:rPr>
                <w:rFonts w:ascii="Book Antiqua" w:eastAsia="Times New Roman" w:hAnsi="Book Antiqua" w:cs="Times New Roman"/>
                <w:iCs/>
              </w:rPr>
              <w:t>General Questions</w:t>
            </w:r>
          </w:p>
          <w:p w:rsidR="007F2CC1" w:rsidRDefault="007F2CC1" w:rsidP="007F2CC1">
            <w:pPr>
              <w:jc w:val="center"/>
              <w:rPr>
                <w:rFonts w:ascii="Book Antiqua" w:eastAsia="Times New Roman" w:hAnsi="Book Antiqua" w:cs="Times New Roman"/>
                <w:b/>
              </w:rPr>
            </w:pPr>
          </w:p>
        </w:tc>
        <w:tc>
          <w:tcPr>
            <w:tcW w:w="3600" w:type="dxa"/>
          </w:tcPr>
          <w:p w:rsidR="007F2CC1" w:rsidRDefault="007F2CC1" w:rsidP="007F2CC1">
            <w:pPr>
              <w:rPr>
                <w:rFonts w:ascii="Book Antiqua" w:eastAsia="Times New Roman" w:hAnsi="Book Antiqua" w:cs="Times New Roman"/>
                <w:b/>
              </w:rPr>
            </w:pPr>
            <w:r w:rsidRPr="00DA0607">
              <w:rPr>
                <w:rFonts w:ascii="Book Antiqua" w:eastAsia="Times New Roman" w:hAnsi="Book Antiqua" w:cs="Times New Roman"/>
              </w:rPr>
              <w:t xml:space="preserve">The question is </w:t>
            </w:r>
            <w:r w:rsidRPr="00DD2C30">
              <w:rPr>
                <w:rFonts w:ascii="Book Antiqua" w:eastAsia="Times New Roman" w:hAnsi="Book Antiqua" w:cs="Times New Roman"/>
                <w:u w:val="single"/>
              </w:rPr>
              <w:t>relevant</w:t>
            </w:r>
            <w:r w:rsidRPr="00DA0607">
              <w:rPr>
                <w:rFonts w:ascii="Book Antiqua" w:eastAsia="Times New Roman" w:hAnsi="Book Antiqua" w:cs="Times New Roman"/>
              </w:rPr>
              <w:t xml:space="preserve"> because it asks whether a fact material to the allegations </w:t>
            </w:r>
            <w:proofErr w:type="gramStart"/>
            <w:r w:rsidRPr="00DA0607">
              <w:rPr>
                <w:rFonts w:ascii="Book Antiqua" w:eastAsia="Times New Roman" w:hAnsi="Book Antiqua" w:cs="Times New Roman"/>
              </w:rPr>
              <w:t>is more or less</w:t>
            </w:r>
            <w:proofErr w:type="gramEnd"/>
            <w:r w:rsidRPr="00DA0607">
              <w:rPr>
                <w:rFonts w:ascii="Book Antiqua" w:eastAsia="Times New Roman" w:hAnsi="Book Antiqua" w:cs="Times New Roman"/>
              </w:rPr>
              <w:t xml:space="preserve"> likely to be true.</w:t>
            </w:r>
          </w:p>
        </w:tc>
        <w:tc>
          <w:tcPr>
            <w:tcW w:w="4623" w:type="dxa"/>
          </w:tcPr>
          <w:p w:rsidR="007F2CC1" w:rsidRPr="007F2CC1" w:rsidRDefault="007F2CC1" w:rsidP="007F2CC1">
            <w:pPr>
              <w:rPr>
                <w:rFonts w:ascii="Book Antiqua" w:eastAsia="Times New Roman" w:hAnsi="Book Antiqua" w:cs="Times New Roman"/>
              </w:rPr>
            </w:pPr>
            <w:r w:rsidRPr="007F2CC1">
              <w:rPr>
                <w:rFonts w:ascii="Book Antiqua" w:eastAsia="Times New Roman" w:hAnsi="Book Antiqua" w:cs="Times New Roman"/>
              </w:rPr>
              <w:t>The question is</w:t>
            </w:r>
            <w:r w:rsidRPr="007F2CC1">
              <w:rPr>
                <w:rFonts w:ascii="Book Antiqua" w:eastAsia="Times New Roman" w:hAnsi="Book Antiqua" w:cs="Times New Roman"/>
                <w:u w:val="single"/>
              </w:rPr>
              <w:t xml:space="preserve"> irrelevant</w:t>
            </w:r>
            <w:r w:rsidRPr="007F2CC1">
              <w:rPr>
                <w:rFonts w:ascii="Book Antiqua" w:eastAsia="Times New Roman" w:hAnsi="Book Antiqua" w:cs="Times New Roman"/>
              </w:rPr>
              <w:t xml:space="preserve"> because it asks about a detail that does not touch on whether a material fact concerning the allegations </w:t>
            </w:r>
            <w:proofErr w:type="gramStart"/>
            <w:r w:rsidRPr="007F2CC1">
              <w:rPr>
                <w:rFonts w:ascii="Book Antiqua" w:eastAsia="Times New Roman" w:hAnsi="Book Antiqua" w:cs="Times New Roman"/>
              </w:rPr>
              <w:t>is more or less</w:t>
            </w:r>
            <w:proofErr w:type="gramEnd"/>
            <w:r w:rsidRPr="007F2CC1">
              <w:rPr>
                <w:rFonts w:ascii="Book Antiqua" w:eastAsia="Times New Roman" w:hAnsi="Book Antiqua" w:cs="Times New Roman"/>
              </w:rPr>
              <w:t xml:space="preserve"> likely to be true. See, 85 Fed. Reg. 30026, 30343 (May 19, 2020).</w:t>
            </w:r>
          </w:p>
          <w:p w:rsidR="007F2CC1" w:rsidRDefault="007F2CC1" w:rsidP="007F2CC1">
            <w:pPr>
              <w:jc w:val="center"/>
              <w:rPr>
                <w:rFonts w:ascii="Book Antiqua" w:eastAsia="Times New Roman" w:hAnsi="Book Antiqua" w:cs="Times New Roman"/>
                <w:b/>
              </w:rPr>
            </w:pPr>
          </w:p>
        </w:tc>
      </w:tr>
      <w:tr w:rsidR="007F2CC1" w:rsidTr="00A22113">
        <w:tc>
          <w:tcPr>
            <w:tcW w:w="1795" w:type="dxa"/>
          </w:tcPr>
          <w:p w:rsidR="007F2CC1" w:rsidRPr="007F2CC1" w:rsidRDefault="007F2CC1" w:rsidP="007F2CC1">
            <w:pPr>
              <w:rPr>
                <w:rFonts w:ascii="Book Antiqua" w:eastAsia="Times New Roman" w:hAnsi="Book Antiqua" w:cs="Times New Roman"/>
                <w:b/>
              </w:rPr>
            </w:pPr>
            <w:r w:rsidRPr="007F2CC1">
              <w:rPr>
                <w:rFonts w:ascii="Book Antiqua" w:eastAsia="Times New Roman" w:hAnsi="Book Antiqua" w:cs="Times New Roman"/>
                <w:iCs/>
              </w:rPr>
              <w:t>Complainant’s Prior Sexual Behavior or Sexual Predisposition</w:t>
            </w:r>
          </w:p>
        </w:tc>
        <w:tc>
          <w:tcPr>
            <w:tcW w:w="3600" w:type="dxa"/>
          </w:tcPr>
          <w:p w:rsidR="007F2CC1" w:rsidRDefault="007F2CC1" w:rsidP="007F2CC1">
            <w:pPr>
              <w:rPr>
                <w:rFonts w:ascii="Book Antiqua" w:eastAsia="Times New Roman" w:hAnsi="Book Antiqua" w:cs="Times New Roman"/>
              </w:rPr>
            </w:pPr>
            <w:r w:rsidRPr="007F2CC1">
              <w:rPr>
                <w:rFonts w:ascii="Book Antiqua" w:eastAsia="Times New Roman" w:hAnsi="Book Antiqua" w:cs="Times New Roman"/>
              </w:rPr>
              <w:t xml:space="preserve">The question is asked to prove that someone other than the respondent committed the conduct alleged by the complainant. </w:t>
            </w:r>
          </w:p>
          <w:p w:rsidR="007F2CC1" w:rsidRDefault="007F2CC1" w:rsidP="007F2CC1">
            <w:pPr>
              <w:rPr>
                <w:rFonts w:ascii="Book Antiqua" w:eastAsia="Times New Roman" w:hAnsi="Book Antiqua" w:cs="Times New Roman"/>
              </w:rPr>
            </w:pPr>
          </w:p>
          <w:p w:rsidR="007F2CC1" w:rsidRPr="007F2CC1" w:rsidRDefault="007F2CC1" w:rsidP="007F2CC1">
            <w:pPr>
              <w:rPr>
                <w:rFonts w:ascii="Book Antiqua" w:eastAsia="Times New Roman" w:hAnsi="Book Antiqua" w:cs="Times New Roman"/>
              </w:rPr>
            </w:pPr>
            <w:r w:rsidRPr="007F2CC1">
              <w:rPr>
                <w:rFonts w:ascii="Book Antiqua" w:eastAsia="Times New Roman" w:hAnsi="Book Antiqua" w:cs="Times New Roman"/>
              </w:rPr>
              <w:t>OR</w:t>
            </w:r>
          </w:p>
          <w:p w:rsidR="007F2CC1" w:rsidRDefault="007F2CC1" w:rsidP="007F2CC1">
            <w:pPr>
              <w:rPr>
                <w:rFonts w:ascii="Book Antiqua" w:eastAsia="Times New Roman" w:hAnsi="Book Antiqua" w:cs="Times New Roman"/>
              </w:rPr>
            </w:pPr>
          </w:p>
          <w:p w:rsidR="007F2CC1" w:rsidRPr="007F2CC1" w:rsidRDefault="007F2CC1" w:rsidP="007F2CC1">
            <w:pPr>
              <w:rPr>
                <w:rFonts w:ascii="Book Antiqua" w:eastAsia="Times New Roman" w:hAnsi="Book Antiqua" w:cs="Times New Roman"/>
              </w:rPr>
            </w:pPr>
            <w:r w:rsidRPr="007F2CC1">
              <w:rPr>
                <w:rFonts w:ascii="Book Antiqua" w:eastAsia="Times New Roman" w:hAnsi="Book Antiqua" w:cs="Times New Roman"/>
              </w:rPr>
              <w:t>The question concerns specific incidents of the complainant’s prior sexual behavior with respect to the respondent and is asked to prove consent</w:t>
            </w:r>
          </w:p>
          <w:p w:rsidR="007F2CC1" w:rsidRDefault="007F2CC1" w:rsidP="007F2CC1">
            <w:pPr>
              <w:rPr>
                <w:rFonts w:ascii="Book Antiqua" w:eastAsia="Times New Roman" w:hAnsi="Book Antiqua" w:cs="Times New Roman"/>
                <w:b/>
              </w:rPr>
            </w:pPr>
          </w:p>
        </w:tc>
        <w:tc>
          <w:tcPr>
            <w:tcW w:w="4623" w:type="dxa"/>
          </w:tcPr>
          <w:p w:rsidR="007F2CC1" w:rsidRDefault="007F2CC1" w:rsidP="007F2CC1">
            <w:pPr>
              <w:rPr>
                <w:rFonts w:ascii="Book Antiqua" w:eastAsia="Times New Roman" w:hAnsi="Book Antiqua" w:cs="Times New Roman"/>
                <w:b/>
              </w:rPr>
            </w:pPr>
            <w:r w:rsidRPr="00DA0607">
              <w:rPr>
                <w:rFonts w:ascii="Book Antiqua" w:eastAsia="Times New Roman" w:hAnsi="Book Antiqua" w:cs="Times New Roman"/>
              </w:rPr>
              <w:t xml:space="preserve">The question is </w:t>
            </w:r>
            <w:r w:rsidRPr="00DD2C30">
              <w:rPr>
                <w:rFonts w:ascii="Book Antiqua" w:eastAsia="Times New Roman" w:hAnsi="Book Antiqua" w:cs="Times New Roman"/>
                <w:u w:val="single"/>
              </w:rPr>
              <w:t>irrelevant</w:t>
            </w:r>
            <w:r w:rsidRPr="00DA0607">
              <w:rPr>
                <w:rFonts w:ascii="Book Antiqua" w:eastAsia="Times New Roman" w:hAnsi="Book Antiqua" w:cs="Times New Roman"/>
              </w:rPr>
              <w:t xml:space="preserve"> because it calls for prior sexual behavior information about the complainant without meeting one of the two exceptions to the rape shield protections defined in 34 C.F.R. § 106.45(b)(6)(</w:t>
            </w:r>
            <w:proofErr w:type="spellStart"/>
            <w:r w:rsidRPr="00DA0607">
              <w:rPr>
                <w:rFonts w:ascii="Book Antiqua" w:eastAsia="Times New Roman" w:hAnsi="Book Antiqua" w:cs="Times New Roman"/>
              </w:rPr>
              <w:t>i</w:t>
            </w:r>
            <w:proofErr w:type="spellEnd"/>
            <w:r w:rsidRPr="00DA0607">
              <w:rPr>
                <w:rFonts w:ascii="Book Antiqua" w:eastAsia="Times New Roman" w:hAnsi="Book Antiqua" w:cs="Times New Roman"/>
              </w:rPr>
              <w:t>).</w:t>
            </w:r>
          </w:p>
        </w:tc>
      </w:tr>
      <w:tr w:rsidR="007F2CC1" w:rsidTr="00A22113">
        <w:tc>
          <w:tcPr>
            <w:tcW w:w="1795" w:type="dxa"/>
          </w:tcPr>
          <w:p w:rsidR="007F2CC1" w:rsidRPr="00A22113" w:rsidRDefault="007F2CC1" w:rsidP="007F2CC1">
            <w:pPr>
              <w:rPr>
                <w:rFonts w:ascii="Book Antiqua" w:eastAsia="Times New Roman" w:hAnsi="Book Antiqua" w:cs="Times New Roman"/>
                <w:iCs/>
              </w:rPr>
            </w:pPr>
            <w:r w:rsidRPr="00A22113">
              <w:rPr>
                <w:rFonts w:ascii="Book Antiqua" w:eastAsia="Times New Roman" w:hAnsi="Book Antiqua" w:cs="Times New Roman"/>
                <w:iCs/>
              </w:rPr>
              <w:t>Question regarding Privileged Information</w:t>
            </w:r>
          </w:p>
        </w:tc>
        <w:tc>
          <w:tcPr>
            <w:tcW w:w="3600" w:type="dxa"/>
          </w:tcPr>
          <w:p w:rsidR="007F2CC1" w:rsidRPr="007F2CC1" w:rsidRDefault="007F2CC1" w:rsidP="007F2CC1">
            <w:pPr>
              <w:rPr>
                <w:rFonts w:ascii="Book Antiqua" w:eastAsia="Times New Roman" w:hAnsi="Book Antiqua" w:cs="Times New Roman"/>
              </w:rPr>
            </w:pPr>
            <w:r w:rsidRPr="00DA0607">
              <w:rPr>
                <w:rFonts w:ascii="Book Antiqua" w:eastAsia="Times New Roman" w:hAnsi="Book Antiqua" w:cs="Times New Roman"/>
              </w:rPr>
              <w:t xml:space="preserve">The question is </w:t>
            </w:r>
            <w:r w:rsidRPr="00DD2C30">
              <w:rPr>
                <w:rFonts w:ascii="Book Antiqua" w:eastAsia="Times New Roman" w:hAnsi="Book Antiqua" w:cs="Times New Roman"/>
                <w:u w:val="single"/>
              </w:rPr>
              <w:t>relevant</w:t>
            </w:r>
            <w:r w:rsidRPr="00DA0607">
              <w:rPr>
                <w:rFonts w:ascii="Book Antiqua" w:eastAsia="Times New Roman" w:hAnsi="Book Antiqua" w:cs="Times New Roman"/>
              </w:rPr>
              <w:t xml:space="preserve"> because, although it calls for information shielded by a legally-recognized privilege [</w:t>
            </w:r>
            <w:r w:rsidRPr="00DA0607">
              <w:rPr>
                <w:rFonts w:ascii="Book Antiqua" w:eastAsia="Times New Roman" w:hAnsi="Book Antiqua" w:cs="Times New Roman"/>
                <w:highlight w:val="cyan"/>
              </w:rPr>
              <w:t>identify the privilege</w:t>
            </w:r>
            <w:r w:rsidRPr="00DA0607">
              <w:rPr>
                <w:rFonts w:ascii="Book Antiqua" w:eastAsia="Times New Roman" w:hAnsi="Book Antiqua" w:cs="Times New Roman"/>
              </w:rPr>
              <w:t xml:space="preserve">], that privilege has been waived in writing, and the question tends to prove that a material fact at issue </w:t>
            </w:r>
            <w:proofErr w:type="gramStart"/>
            <w:r w:rsidRPr="00DA0607">
              <w:rPr>
                <w:rFonts w:ascii="Book Antiqua" w:eastAsia="Times New Roman" w:hAnsi="Book Antiqua" w:cs="Times New Roman"/>
              </w:rPr>
              <w:t>is more or less</w:t>
            </w:r>
            <w:proofErr w:type="gramEnd"/>
            <w:r w:rsidRPr="00DA0607">
              <w:rPr>
                <w:rFonts w:ascii="Book Antiqua" w:eastAsia="Times New Roman" w:hAnsi="Book Antiqua" w:cs="Times New Roman"/>
              </w:rPr>
              <w:t xml:space="preserve"> likely to be true.</w:t>
            </w:r>
          </w:p>
        </w:tc>
        <w:tc>
          <w:tcPr>
            <w:tcW w:w="4623" w:type="dxa"/>
          </w:tcPr>
          <w:p w:rsidR="007F2CC1" w:rsidRPr="00DA0607" w:rsidRDefault="007F2CC1" w:rsidP="007F2CC1">
            <w:pPr>
              <w:rPr>
                <w:rFonts w:ascii="Book Antiqua" w:eastAsia="Times New Roman" w:hAnsi="Book Antiqua" w:cs="Times New Roman"/>
              </w:rPr>
            </w:pPr>
            <w:r w:rsidRPr="00DA0607">
              <w:rPr>
                <w:rFonts w:ascii="Book Antiqua" w:eastAsia="Times New Roman" w:hAnsi="Book Antiqua" w:cs="Times New Roman"/>
              </w:rPr>
              <w:t xml:space="preserve">The question is </w:t>
            </w:r>
            <w:r w:rsidRPr="00DD2C30">
              <w:rPr>
                <w:rFonts w:ascii="Book Antiqua" w:eastAsia="Times New Roman" w:hAnsi="Book Antiqua" w:cs="Times New Roman"/>
                <w:u w:val="single"/>
              </w:rPr>
              <w:t xml:space="preserve">irrelevant </w:t>
            </w:r>
            <w:r w:rsidRPr="00DA0607">
              <w:rPr>
                <w:rFonts w:ascii="Book Antiqua" w:eastAsia="Times New Roman" w:hAnsi="Book Antiqua" w:cs="Times New Roman"/>
              </w:rPr>
              <w:t>because it calls for information shielded by a legally-recognized privilege [</w:t>
            </w:r>
            <w:r w:rsidRPr="00DA0607">
              <w:rPr>
                <w:rFonts w:ascii="Book Antiqua" w:eastAsia="Times New Roman" w:hAnsi="Book Antiqua" w:cs="Times New Roman"/>
                <w:highlight w:val="cyan"/>
              </w:rPr>
              <w:t>identify the privilege</w:t>
            </w:r>
            <w:r w:rsidRPr="00DA0607">
              <w:rPr>
                <w:rFonts w:ascii="Book Antiqua" w:eastAsia="Times New Roman" w:hAnsi="Book Antiqua" w:cs="Times New Roman"/>
              </w:rPr>
              <w:t>].</w:t>
            </w:r>
          </w:p>
        </w:tc>
      </w:tr>
      <w:tr w:rsidR="00A22113" w:rsidTr="00A22113">
        <w:tc>
          <w:tcPr>
            <w:tcW w:w="1795" w:type="dxa"/>
          </w:tcPr>
          <w:p w:rsidR="00A22113" w:rsidRPr="00A22113" w:rsidRDefault="00A22113" w:rsidP="007F2CC1">
            <w:pPr>
              <w:rPr>
                <w:rFonts w:ascii="Book Antiqua" w:eastAsia="Times New Roman" w:hAnsi="Book Antiqua" w:cs="Times New Roman"/>
                <w:iCs/>
              </w:rPr>
            </w:pPr>
            <w:r w:rsidRPr="00A22113">
              <w:rPr>
                <w:rFonts w:ascii="Book Antiqua" w:eastAsia="Times New Roman" w:hAnsi="Book Antiqua" w:cs="Times New Roman"/>
                <w:iCs/>
              </w:rPr>
              <w:t>Questions about Undisclosed Medical Records</w:t>
            </w:r>
          </w:p>
        </w:tc>
        <w:tc>
          <w:tcPr>
            <w:tcW w:w="3600" w:type="dxa"/>
          </w:tcPr>
          <w:p w:rsidR="00A22113" w:rsidRPr="00DA0607" w:rsidRDefault="00A22113" w:rsidP="007F2CC1">
            <w:pPr>
              <w:rPr>
                <w:rFonts w:ascii="Book Antiqua" w:eastAsia="Times New Roman" w:hAnsi="Book Antiqua" w:cs="Times New Roman"/>
              </w:rPr>
            </w:pPr>
            <w:r w:rsidRPr="00DA0607">
              <w:rPr>
                <w:rFonts w:ascii="Book Antiqua" w:eastAsia="Times New Roman" w:hAnsi="Book Antiqua" w:cs="Times New Roman"/>
              </w:rPr>
              <w:t xml:space="preserve">This question is </w:t>
            </w:r>
            <w:r w:rsidRPr="00DD2C30">
              <w:rPr>
                <w:rFonts w:ascii="Book Antiqua" w:eastAsia="Times New Roman" w:hAnsi="Book Antiqua" w:cs="Times New Roman"/>
                <w:u w:val="single"/>
              </w:rPr>
              <w:t>relevant</w:t>
            </w:r>
            <w:r w:rsidRPr="00DA0607">
              <w:rPr>
                <w:rFonts w:ascii="Book Antiqua" w:eastAsia="Times New Roman" w:hAnsi="Book Antiqua" w:cs="Times New Roman"/>
              </w:rPr>
              <w:t xml:space="preserve"> because although it calls for a party’s medical, psychological, or similar records, that party has given their voluntary, written consent to including this material, and it tends to prove that a material fact at issue </w:t>
            </w:r>
            <w:proofErr w:type="gramStart"/>
            <w:r w:rsidRPr="00DA0607">
              <w:rPr>
                <w:rFonts w:ascii="Book Antiqua" w:eastAsia="Times New Roman" w:hAnsi="Book Antiqua" w:cs="Times New Roman"/>
              </w:rPr>
              <w:t>is more or less</w:t>
            </w:r>
            <w:proofErr w:type="gramEnd"/>
            <w:r w:rsidRPr="00DA0607">
              <w:rPr>
                <w:rFonts w:ascii="Book Antiqua" w:eastAsia="Times New Roman" w:hAnsi="Book Antiqua" w:cs="Times New Roman"/>
              </w:rPr>
              <w:t xml:space="preserve"> likely to be true. 85 Fed. Reg. 30026, 30294 </w:t>
            </w:r>
          </w:p>
        </w:tc>
        <w:tc>
          <w:tcPr>
            <w:tcW w:w="4623" w:type="dxa"/>
          </w:tcPr>
          <w:p w:rsidR="00A22113" w:rsidRPr="00DA0607" w:rsidRDefault="00A22113" w:rsidP="007F2CC1">
            <w:pPr>
              <w:rPr>
                <w:rFonts w:ascii="Book Antiqua" w:eastAsia="Times New Roman" w:hAnsi="Book Antiqua" w:cs="Times New Roman"/>
              </w:rPr>
            </w:pPr>
            <w:r w:rsidRPr="00DA0607">
              <w:rPr>
                <w:rFonts w:ascii="Book Antiqua" w:eastAsia="Times New Roman" w:hAnsi="Book Antiqua" w:cs="Times New Roman"/>
              </w:rPr>
              <w:t xml:space="preserve">The question is </w:t>
            </w:r>
            <w:r w:rsidRPr="00DD2C30">
              <w:rPr>
                <w:rFonts w:ascii="Book Antiqua" w:eastAsia="Times New Roman" w:hAnsi="Book Antiqua" w:cs="Times New Roman"/>
                <w:u w:val="single"/>
              </w:rPr>
              <w:t>irrelevant</w:t>
            </w:r>
            <w:r w:rsidRPr="00DA0607">
              <w:rPr>
                <w:rFonts w:ascii="Book Antiqua" w:eastAsia="Times New Roman" w:hAnsi="Book Antiqua" w:cs="Times New Roman"/>
              </w:rPr>
              <w:t xml:space="preserve"> because it calls for information regarding a party’s medical, psychological, or similar record without that party’s voluntary, written consent. 85 Fed. Reg. 30026, 30294.</w:t>
            </w:r>
          </w:p>
        </w:tc>
      </w:tr>
      <w:tr w:rsidR="00A22113" w:rsidTr="00A22113">
        <w:tc>
          <w:tcPr>
            <w:tcW w:w="1795" w:type="dxa"/>
          </w:tcPr>
          <w:p w:rsidR="00A22113" w:rsidRPr="00A22113" w:rsidRDefault="00A22113" w:rsidP="007F2CC1">
            <w:pPr>
              <w:rPr>
                <w:rFonts w:ascii="Book Antiqua" w:eastAsia="Times New Roman" w:hAnsi="Book Antiqua" w:cs="Times New Roman"/>
                <w:iCs/>
              </w:rPr>
            </w:pPr>
            <w:r w:rsidRPr="00A22113">
              <w:rPr>
                <w:rFonts w:ascii="Book Antiqua" w:eastAsia="Times New Roman" w:hAnsi="Book Antiqua" w:cs="Times New Roman"/>
                <w:iCs/>
              </w:rPr>
              <w:t>Duplicative Questions</w:t>
            </w:r>
          </w:p>
        </w:tc>
        <w:tc>
          <w:tcPr>
            <w:tcW w:w="3600" w:type="dxa"/>
          </w:tcPr>
          <w:p w:rsidR="00A22113" w:rsidRPr="00DA0607" w:rsidRDefault="00A22113" w:rsidP="007F2CC1">
            <w:pPr>
              <w:rPr>
                <w:rFonts w:ascii="Book Antiqua" w:eastAsia="Times New Roman" w:hAnsi="Book Antiqua" w:cs="Times New Roman"/>
              </w:rPr>
            </w:pPr>
          </w:p>
        </w:tc>
        <w:tc>
          <w:tcPr>
            <w:tcW w:w="4623" w:type="dxa"/>
          </w:tcPr>
          <w:p w:rsidR="00A22113" w:rsidRPr="00DA0607" w:rsidRDefault="00A22113" w:rsidP="007F2CC1">
            <w:pPr>
              <w:rPr>
                <w:rFonts w:ascii="Book Antiqua" w:eastAsia="Times New Roman" w:hAnsi="Book Antiqua" w:cs="Times New Roman"/>
              </w:rPr>
            </w:pPr>
            <w:r w:rsidRPr="00DA0607">
              <w:rPr>
                <w:rFonts w:ascii="Book Antiqua" w:eastAsia="Times New Roman" w:hAnsi="Book Antiqua" w:cs="Times New Roman"/>
              </w:rPr>
              <w:t xml:space="preserve">The question is </w:t>
            </w:r>
            <w:r w:rsidRPr="00A22113">
              <w:rPr>
                <w:rFonts w:ascii="Book Antiqua" w:eastAsia="Times New Roman" w:hAnsi="Book Antiqua" w:cs="Times New Roman"/>
                <w:u w:val="single"/>
              </w:rPr>
              <w:t>irrelevant</w:t>
            </w:r>
            <w:r w:rsidRPr="00DA0607">
              <w:rPr>
                <w:rFonts w:ascii="Book Antiqua" w:eastAsia="Times New Roman" w:hAnsi="Book Antiqua" w:cs="Times New Roman"/>
              </w:rPr>
              <w:t xml:space="preserve"> because it is duplicative of a question that was asked and answered</w:t>
            </w:r>
            <w:r>
              <w:rPr>
                <w:rFonts w:ascii="Book Antiqua" w:eastAsia="Times New Roman" w:hAnsi="Book Antiqua" w:cs="Times New Roman"/>
              </w:rPr>
              <w:t xml:space="preserve"> previously</w:t>
            </w:r>
            <w:r w:rsidRPr="00DA0607">
              <w:rPr>
                <w:rFonts w:ascii="Book Antiqua" w:eastAsia="Times New Roman" w:hAnsi="Book Antiqua" w:cs="Times New Roman"/>
              </w:rPr>
              <w:t>.</w:t>
            </w:r>
          </w:p>
        </w:tc>
      </w:tr>
      <w:tr w:rsidR="00A22113" w:rsidTr="00FD3D99">
        <w:tc>
          <w:tcPr>
            <w:tcW w:w="1795" w:type="dxa"/>
          </w:tcPr>
          <w:p w:rsidR="00A22113" w:rsidRPr="00A22113" w:rsidRDefault="00A22113" w:rsidP="007F2CC1">
            <w:pPr>
              <w:rPr>
                <w:rFonts w:ascii="Book Antiqua" w:eastAsia="Times New Roman" w:hAnsi="Book Antiqua" w:cs="Times New Roman"/>
                <w:iCs/>
              </w:rPr>
            </w:pPr>
            <w:r>
              <w:rPr>
                <w:rFonts w:ascii="Book Antiqua" w:eastAsia="Times New Roman" w:hAnsi="Book Antiqua" w:cs="Times New Roman"/>
                <w:iCs/>
              </w:rPr>
              <w:t>Request to reconsider</w:t>
            </w:r>
          </w:p>
        </w:tc>
        <w:tc>
          <w:tcPr>
            <w:tcW w:w="8223" w:type="dxa"/>
            <w:gridSpan w:val="2"/>
          </w:tcPr>
          <w:p w:rsidR="00A22113" w:rsidRPr="00DA0607" w:rsidRDefault="00A22113" w:rsidP="007F2CC1">
            <w:pPr>
              <w:rPr>
                <w:rFonts w:ascii="Book Antiqua" w:eastAsia="Times New Roman" w:hAnsi="Book Antiqua" w:cs="Times New Roman"/>
              </w:rPr>
            </w:pPr>
            <w:r w:rsidRPr="00A22113">
              <w:rPr>
                <w:rFonts w:ascii="Book Antiqua" w:eastAsia="Times New Roman" w:hAnsi="Book Antiqua" w:cs="Times New Roman"/>
                <w:u w:val="single"/>
              </w:rPr>
              <w:t>D</w:t>
            </w:r>
            <w:r w:rsidRPr="00A22113">
              <w:rPr>
                <w:rFonts w:ascii="Book Antiqua" w:eastAsia="Times New Roman" w:hAnsi="Book Antiqua" w:cs="Times New Roman"/>
                <w:u w:val="single"/>
              </w:rPr>
              <w:t>eny</w:t>
            </w:r>
            <w:r w:rsidRPr="00DA0607">
              <w:rPr>
                <w:rFonts w:ascii="Book Antiqua" w:eastAsia="Times New Roman" w:hAnsi="Book Antiqua" w:cs="Times New Roman"/>
              </w:rPr>
              <w:t xml:space="preserve"> or </w:t>
            </w:r>
            <w:r w:rsidRPr="00A22113">
              <w:rPr>
                <w:rFonts w:ascii="Book Antiqua" w:eastAsia="Times New Roman" w:hAnsi="Book Antiqua" w:cs="Times New Roman"/>
                <w:u w:val="single"/>
              </w:rPr>
              <w:t>grant</w:t>
            </w:r>
            <w:r w:rsidRPr="00DA0607">
              <w:rPr>
                <w:rFonts w:ascii="Book Antiqua" w:eastAsia="Times New Roman" w:hAnsi="Book Antiqua" w:cs="Times New Roman"/>
              </w:rPr>
              <w:t xml:space="preserve"> the request to reconsider</w:t>
            </w:r>
            <w:r>
              <w:rPr>
                <w:rFonts w:ascii="Book Antiqua" w:eastAsia="Times New Roman" w:hAnsi="Book Antiqua" w:cs="Times New Roman"/>
              </w:rPr>
              <w:t xml:space="preserve">.  </w:t>
            </w:r>
            <w:r w:rsidRPr="00DA0607">
              <w:rPr>
                <w:rFonts w:ascii="Book Antiqua" w:eastAsia="Times New Roman" w:hAnsi="Book Antiqua" w:cs="Times New Roman"/>
              </w:rPr>
              <w:t xml:space="preserve">This determination is final, but may be subject to appeal under the Title IX Grievance </w:t>
            </w:r>
            <w:r>
              <w:rPr>
                <w:rFonts w:ascii="Book Antiqua" w:eastAsia="Times New Roman" w:hAnsi="Book Antiqua" w:cs="Times New Roman"/>
              </w:rPr>
              <w:t xml:space="preserve">Appeals </w:t>
            </w:r>
            <w:r w:rsidRPr="00DA0607">
              <w:rPr>
                <w:rFonts w:ascii="Book Antiqua" w:eastAsia="Times New Roman" w:hAnsi="Book Antiqua" w:cs="Times New Roman"/>
              </w:rPr>
              <w:t>Process</w:t>
            </w:r>
            <w:r>
              <w:rPr>
                <w:rFonts w:ascii="Book Antiqua" w:eastAsia="Times New Roman" w:hAnsi="Book Antiqua" w:cs="Times New Roman"/>
              </w:rPr>
              <w:t xml:space="preserve"> as outlined in the policy</w:t>
            </w:r>
            <w:r w:rsidRPr="00DA0607">
              <w:rPr>
                <w:rFonts w:ascii="Book Antiqua" w:eastAsia="Times New Roman" w:hAnsi="Book Antiqua" w:cs="Times New Roman"/>
              </w:rPr>
              <w:t>.</w:t>
            </w:r>
          </w:p>
        </w:tc>
      </w:tr>
    </w:tbl>
    <w:p w:rsidR="00FC47DD" w:rsidRPr="00DA0607" w:rsidRDefault="00FC47DD">
      <w:pPr>
        <w:rPr>
          <w:rFonts w:ascii="Book Antiqua" w:hAnsi="Book Antiqua"/>
        </w:rPr>
      </w:pPr>
    </w:p>
    <w:sectPr w:rsidR="00FC47DD" w:rsidRPr="00DA0607">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1F74" w:rsidRDefault="00B31F74" w:rsidP="00B31F74">
      <w:pPr>
        <w:spacing w:after="0" w:line="240" w:lineRule="auto"/>
      </w:pPr>
      <w:r>
        <w:separator/>
      </w:r>
    </w:p>
  </w:endnote>
  <w:endnote w:type="continuationSeparator" w:id="0">
    <w:p w:rsidR="00B31F74" w:rsidRDefault="00B31F74" w:rsidP="00B31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676079"/>
      <w:docPartObj>
        <w:docPartGallery w:val="Page Numbers (Bottom of Page)"/>
        <w:docPartUnique/>
      </w:docPartObj>
    </w:sdtPr>
    <w:sdtEndPr>
      <w:rPr>
        <w:noProof/>
      </w:rPr>
    </w:sdtEndPr>
    <w:sdtContent>
      <w:p w:rsidR="00A1496D" w:rsidRDefault="00A1496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A1496D" w:rsidRDefault="00A149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1F74" w:rsidRDefault="00B31F74" w:rsidP="00B31F74">
      <w:pPr>
        <w:spacing w:after="0" w:line="240" w:lineRule="auto"/>
      </w:pPr>
      <w:r>
        <w:separator/>
      </w:r>
    </w:p>
  </w:footnote>
  <w:footnote w:type="continuationSeparator" w:id="0">
    <w:p w:rsidR="00B31F74" w:rsidRDefault="00B31F74" w:rsidP="00B31F74">
      <w:pPr>
        <w:spacing w:after="0" w:line="240" w:lineRule="auto"/>
      </w:pPr>
      <w:r>
        <w:continuationSeparator/>
      </w:r>
    </w:p>
  </w:footnote>
  <w:footnote w:id="1">
    <w:p w:rsidR="00DA425B" w:rsidRPr="00DA425B" w:rsidRDefault="00DA425B">
      <w:pPr>
        <w:pStyle w:val="FootnoteText"/>
        <w:rPr>
          <w:rFonts w:ascii="Book Antiqua" w:hAnsi="Book Antiqua"/>
        </w:rPr>
      </w:pPr>
      <w:r w:rsidRPr="00DA425B">
        <w:rPr>
          <w:rStyle w:val="FootnoteReference"/>
          <w:rFonts w:ascii="Book Antiqua" w:hAnsi="Book Antiqua"/>
        </w:rPr>
        <w:footnoteRef/>
      </w:r>
      <w:r w:rsidRPr="00DA425B">
        <w:rPr>
          <w:rFonts w:ascii="Book Antiqua" w:hAnsi="Book Antiqua"/>
        </w:rPr>
        <w:t xml:space="preserve"> The Final Rules state “</w:t>
      </w:r>
      <w:r w:rsidRPr="00DA425B">
        <w:rPr>
          <w:rFonts w:ascii="Book Antiqua" w:hAnsi="Book Antiqua"/>
        </w:rPr>
        <w:t>the Federal Rules of Evidence constitute a complex, comprehensive set of evidentiary rules and exceptions designed to be applied by judges and lawyers, while Title IX grievance processes are not court trials and are expected to be overseen by layperson officials of a school, college, or university rather than by a judge or lawyer. Similarly, a recipient may not adopt rules excluding certain types of relevant evidence (e.g., lie detector test results, or rape kits) where the type of evidence is not either deemed “not relevant” (as is, for instance, evidence concerning a complainant’s prior sexual history1153) or otherwise barred from use under § 106.45 (as is, for instance, information protected by a legally recognized privilege1154). However, the § 106.45 grievance process does not prescribe rules governing how admissible, relevant evidence must be evaluated for weight or credibility by a recipient’s decision-maker, and recipients thus have discretion to adopt and apply rules in that regard, so long as such rules do not conflict with § 106.45 and apply equally to both parties.</w:t>
      </w:r>
      <w:r w:rsidRPr="00DA425B">
        <w:rPr>
          <w:rFonts w:ascii="Book Antiqua" w:hAnsi="Book Antiqua"/>
        </w:rPr>
        <w:t xml:space="preserve">”  </w:t>
      </w:r>
      <w:r w:rsidR="00E87EC4">
        <w:rPr>
          <w:rFonts w:ascii="Book Antiqua" w:hAnsi="Book Antiqua"/>
        </w:rPr>
        <w:t>85 Fed. Reg. 30294</w:t>
      </w:r>
      <w:r w:rsidR="00E30E36">
        <w:rPr>
          <w:rFonts w:ascii="Book Antiqua" w:hAnsi="Book Antiqua"/>
        </w:rPr>
        <w:t xml:space="preserve">.  </w:t>
      </w:r>
      <w:r w:rsidRPr="00DA425B">
        <w:rPr>
          <w:rFonts w:ascii="Book Antiqua" w:hAnsi="Book Antiqua"/>
        </w:rPr>
        <w:t>Training on relevance is therefore critical and reflection upon</w:t>
      </w:r>
      <w:r w:rsidR="00E30E36">
        <w:rPr>
          <w:rFonts w:ascii="Book Antiqua" w:hAnsi="Book Antiqua"/>
        </w:rPr>
        <w:t>,</w:t>
      </w:r>
      <w:r w:rsidRPr="00DA425B">
        <w:rPr>
          <w:rFonts w:ascii="Book Antiqua" w:hAnsi="Book Antiqua"/>
        </w:rPr>
        <w:t xml:space="preserve"> not adoption of</w:t>
      </w:r>
      <w:r w:rsidR="00E30E36">
        <w:rPr>
          <w:rFonts w:ascii="Book Antiqua" w:hAnsi="Book Antiqua"/>
        </w:rPr>
        <w:t>,</w:t>
      </w:r>
      <w:r w:rsidRPr="00DA425B">
        <w:rPr>
          <w:rFonts w:ascii="Book Antiqua" w:hAnsi="Book Antiqua"/>
        </w:rPr>
        <w:t xml:space="preserve"> the Federal Rules of Evidence may be at least in part instructive.  </w:t>
      </w:r>
    </w:p>
    <w:p w:rsidR="00DA425B" w:rsidRPr="00DA425B" w:rsidRDefault="00DA425B">
      <w:pPr>
        <w:pStyle w:val="FootnoteText"/>
        <w:rPr>
          <w:lang w:val="en-US"/>
        </w:rPr>
      </w:pPr>
    </w:p>
  </w:footnote>
  <w:footnote w:id="2">
    <w:p w:rsidR="00A30522" w:rsidRPr="00A30522" w:rsidRDefault="00A30522">
      <w:pPr>
        <w:pStyle w:val="FootnoteText"/>
        <w:rPr>
          <w:lang w:val="en-US"/>
        </w:rPr>
      </w:pPr>
      <w:r>
        <w:rPr>
          <w:rStyle w:val="FootnoteReference"/>
        </w:rPr>
        <w:footnoteRef/>
      </w:r>
      <w:r>
        <w:t xml:space="preserve"> </w:t>
      </w:r>
      <w:r w:rsidRPr="00A30522">
        <w:rPr>
          <w:rFonts w:ascii="Book Antiqua" w:hAnsi="Book Antiqua"/>
          <w:lang w:val="en-US"/>
        </w:rPr>
        <w:t>Section 106.45(b)(6)</w:t>
      </w:r>
    </w:p>
  </w:footnote>
  <w:footnote w:id="3">
    <w:p w:rsidR="00A30522" w:rsidRPr="00A30522" w:rsidRDefault="00A30522">
      <w:pPr>
        <w:pStyle w:val="FootnoteText"/>
        <w:rPr>
          <w:lang w:val="en-US"/>
        </w:rPr>
      </w:pPr>
      <w:r>
        <w:rPr>
          <w:rStyle w:val="FootnoteReference"/>
        </w:rPr>
        <w:footnoteRef/>
      </w:r>
      <w:r>
        <w:t xml:space="preserve"> </w:t>
      </w:r>
      <w:r w:rsidRPr="00B83300">
        <w:rPr>
          <w:rFonts w:ascii="Book Antiqua" w:hAnsi="Book Antiqua"/>
        </w:rPr>
        <w:t xml:space="preserve">The language from the regulations appears to be in part borrowed from Federal Rule of Evidence 412, the commentary to which is instructive in helping to define the term </w:t>
      </w:r>
      <w:r w:rsidR="00DA425B">
        <w:rPr>
          <w:rFonts w:ascii="Book Antiqua" w:hAnsi="Book Antiqua"/>
        </w:rPr>
        <w:t>“</w:t>
      </w:r>
      <w:r w:rsidRPr="00B83300">
        <w:rPr>
          <w:rFonts w:ascii="Book Antiqua" w:hAnsi="Book Antiqua"/>
        </w:rPr>
        <w:t>sexual behavior</w:t>
      </w:r>
      <w:r w:rsidR="00DA425B">
        <w:rPr>
          <w:rFonts w:ascii="Book Antiqua" w:hAnsi="Book Antiqua"/>
        </w:rPr>
        <w:t>”</w:t>
      </w:r>
      <w:r w:rsidRPr="00B83300">
        <w:rPr>
          <w:rFonts w:ascii="Book Antiqua" w:hAnsi="Book Antiqua"/>
        </w:rPr>
        <w:t xml:space="preserve">.  </w:t>
      </w:r>
      <w:r w:rsidR="00DA425B">
        <w:rPr>
          <w:rFonts w:ascii="Book Antiqua" w:hAnsi="Book Antiqua"/>
        </w:rPr>
        <w:t xml:space="preserve">Although the Rules of Evidence do not apply in these hearings, </w:t>
      </w:r>
      <w:proofErr w:type="gramStart"/>
      <w:r w:rsidR="00B83300" w:rsidRPr="00B83300">
        <w:rPr>
          <w:rFonts w:ascii="Book Antiqua" w:hAnsi="Book Antiqua"/>
        </w:rPr>
        <w:t>The</w:t>
      </w:r>
      <w:proofErr w:type="gramEnd"/>
      <w:r w:rsidR="00B83300" w:rsidRPr="00B83300">
        <w:rPr>
          <w:rFonts w:ascii="Book Antiqua" w:hAnsi="Book Antiqua"/>
        </w:rPr>
        <w:t xml:space="preserve"> commentary states “[p]</w:t>
      </w:r>
      <w:proofErr w:type="spellStart"/>
      <w:r w:rsidRPr="00B83300">
        <w:rPr>
          <w:rFonts w:ascii="Book Antiqua" w:hAnsi="Book Antiqua"/>
          <w:color w:val="333333"/>
          <w:shd w:val="clear" w:color="auto" w:fill="FFFFFF"/>
        </w:rPr>
        <w:t>ast</w:t>
      </w:r>
      <w:proofErr w:type="spellEnd"/>
      <w:r w:rsidRPr="00B83300">
        <w:rPr>
          <w:rFonts w:ascii="Book Antiqua" w:hAnsi="Book Antiqua"/>
          <w:color w:val="333333"/>
          <w:shd w:val="clear" w:color="auto" w:fill="FFFFFF"/>
        </w:rPr>
        <w:t xml:space="preserve"> sexual behavior connotes all activities that involve actual physical conduct, i.e. sexual intercourse and sexual contact, or that imply sexual intercourse or sexual contact. </w:t>
      </w:r>
      <w:r w:rsidRPr="00B83300">
        <w:rPr>
          <w:rStyle w:val="Emphasis"/>
          <w:rFonts w:ascii="Book Antiqua" w:hAnsi="Book Antiqua"/>
          <w:color w:val="333333"/>
          <w:shd w:val="clear" w:color="auto" w:fill="FFFFFF"/>
        </w:rPr>
        <w:t>See, e.g., United</w:t>
      </w:r>
      <w:r w:rsidRPr="00A30522">
        <w:rPr>
          <w:rStyle w:val="Emphasis"/>
          <w:rFonts w:ascii="Book Antiqua" w:hAnsi="Book Antiqua"/>
          <w:color w:val="333333"/>
          <w:shd w:val="clear" w:color="auto" w:fill="FFFFFF"/>
        </w:rPr>
        <w:t xml:space="preserve"> States v. Galloway</w:t>
      </w:r>
      <w:r w:rsidRPr="00A30522">
        <w:rPr>
          <w:rFonts w:ascii="Book Antiqua" w:hAnsi="Book Antiqua"/>
          <w:color w:val="333333"/>
          <w:shd w:val="clear" w:color="auto" w:fill="FFFFFF"/>
        </w:rPr>
        <w:t>, </w:t>
      </w:r>
      <w:hyperlink r:id="rId1" w:history="1">
        <w:r w:rsidRPr="00A30522">
          <w:rPr>
            <w:rStyle w:val="Hyperlink"/>
            <w:rFonts w:ascii="Book Antiqua" w:hAnsi="Book Antiqua"/>
            <w:color w:val="0068AC"/>
            <w:shd w:val="clear" w:color="auto" w:fill="FFFFFF"/>
          </w:rPr>
          <w:t>937 F.2d 542</w:t>
        </w:r>
      </w:hyperlink>
      <w:r w:rsidRPr="00A30522">
        <w:rPr>
          <w:rFonts w:ascii="Book Antiqua" w:hAnsi="Book Antiqua"/>
          <w:color w:val="333333"/>
          <w:shd w:val="clear" w:color="auto" w:fill="FFFFFF"/>
        </w:rPr>
        <w:t> (10th Cir. 1991), </w:t>
      </w:r>
      <w:r w:rsidRPr="00A30522">
        <w:rPr>
          <w:rStyle w:val="Emphasis"/>
          <w:rFonts w:ascii="Book Antiqua" w:hAnsi="Book Antiqua"/>
          <w:color w:val="333333"/>
          <w:shd w:val="clear" w:color="auto" w:fill="FFFFFF"/>
        </w:rPr>
        <w:t>cert. denied</w:t>
      </w:r>
      <w:r w:rsidRPr="00A30522">
        <w:rPr>
          <w:rFonts w:ascii="Book Antiqua" w:hAnsi="Book Antiqua"/>
          <w:color w:val="333333"/>
          <w:shd w:val="clear" w:color="auto" w:fill="FFFFFF"/>
        </w:rPr>
        <w:t xml:space="preserve">, 113 </w:t>
      </w:r>
      <w:proofErr w:type="spellStart"/>
      <w:r w:rsidRPr="00A30522">
        <w:rPr>
          <w:rFonts w:ascii="Book Antiqua" w:hAnsi="Book Antiqua"/>
          <w:color w:val="333333"/>
          <w:shd w:val="clear" w:color="auto" w:fill="FFFFFF"/>
        </w:rPr>
        <w:t>S.Ct</w:t>
      </w:r>
      <w:proofErr w:type="spellEnd"/>
      <w:r w:rsidRPr="00A30522">
        <w:rPr>
          <w:rFonts w:ascii="Book Antiqua" w:hAnsi="Book Antiqua"/>
          <w:color w:val="333333"/>
          <w:shd w:val="clear" w:color="auto" w:fill="FFFFFF"/>
        </w:rPr>
        <w:t>. 418 (1992) (use of contraceptives inadmissible since use implies sexual activity); </w:t>
      </w:r>
      <w:r w:rsidRPr="00A30522">
        <w:rPr>
          <w:rStyle w:val="Emphasis"/>
          <w:rFonts w:ascii="Book Antiqua" w:hAnsi="Book Antiqua"/>
          <w:color w:val="333333"/>
          <w:shd w:val="clear" w:color="auto" w:fill="FFFFFF"/>
        </w:rPr>
        <w:t>United States v. One Feather</w:t>
      </w:r>
      <w:r w:rsidRPr="00A30522">
        <w:rPr>
          <w:rFonts w:ascii="Book Antiqua" w:hAnsi="Book Antiqua"/>
          <w:color w:val="333333"/>
          <w:shd w:val="clear" w:color="auto" w:fill="FFFFFF"/>
        </w:rPr>
        <w:t>, </w:t>
      </w:r>
      <w:hyperlink r:id="rId2" w:history="1">
        <w:r w:rsidRPr="00A30522">
          <w:rPr>
            <w:rStyle w:val="Hyperlink"/>
            <w:rFonts w:ascii="Book Antiqua" w:hAnsi="Book Antiqua"/>
            <w:color w:val="0068AC"/>
            <w:shd w:val="clear" w:color="auto" w:fill="FFFFFF"/>
          </w:rPr>
          <w:t>702 F.2d 736</w:t>
        </w:r>
      </w:hyperlink>
      <w:r w:rsidRPr="00A30522">
        <w:rPr>
          <w:rFonts w:ascii="Book Antiqua" w:hAnsi="Book Antiqua"/>
          <w:color w:val="333333"/>
          <w:shd w:val="clear" w:color="auto" w:fill="FFFFFF"/>
        </w:rPr>
        <w:t> (8th Cir. 1983) (birth of an illegitimate child</w:t>
      </w:r>
      <w:r>
        <w:rPr>
          <w:rFonts w:ascii="Verdana" w:hAnsi="Verdana"/>
          <w:color w:val="333333"/>
          <w:shd w:val="clear" w:color="auto" w:fill="FFFFFF"/>
        </w:rPr>
        <w:t xml:space="preserve"> </w:t>
      </w:r>
      <w:r w:rsidRPr="00A30522">
        <w:rPr>
          <w:rFonts w:ascii="Book Antiqua" w:hAnsi="Book Antiqua"/>
          <w:color w:val="333333"/>
          <w:shd w:val="clear" w:color="auto" w:fill="FFFFFF"/>
        </w:rPr>
        <w:t>inadmissible); </w:t>
      </w:r>
      <w:r w:rsidRPr="00A30522">
        <w:rPr>
          <w:rStyle w:val="Emphasis"/>
          <w:rFonts w:ascii="Book Antiqua" w:hAnsi="Book Antiqua"/>
          <w:color w:val="333333"/>
          <w:shd w:val="clear" w:color="auto" w:fill="FFFFFF"/>
        </w:rPr>
        <w:t>State v. Carmichael</w:t>
      </w:r>
      <w:r w:rsidRPr="00A30522">
        <w:rPr>
          <w:rFonts w:ascii="Book Antiqua" w:hAnsi="Book Antiqua"/>
          <w:color w:val="333333"/>
          <w:shd w:val="clear" w:color="auto" w:fill="FFFFFF"/>
        </w:rPr>
        <w:t>, 727 P.2d 918, 925 (Kan. 1986) (evidence of venereal</w:t>
      </w:r>
      <w:r>
        <w:rPr>
          <w:rFonts w:ascii="Verdana" w:hAnsi="Verdana"/>
          <w:color w:val="333333"/>
          <w:shd w:val="clear" w:color="auto" w:fill="FFFFFF"/>
        </w:rPr>
        <w:t xml:space="preserve"> </w:t>
      </w:r>
      <w:r w:rsidRPr="00A30522">
        <w:rPr>
          <w:rFonts w:ascii="Book Antiqua" w:hAnsi="Book Antiqua"/>
          <w:color w:val="333333"/>
          <w:shd w:val="clear" w:color="auto" w:fill="FFFFFF"/>
        </w:rPr>
        <w:t xml:space="preserve">disease inadmissible). </w:t>
      </w:r>
      <w:r w:rsidR="00B83300">
        <w:rPr>
          <w:rFonts w:ascii="Book Antiqua" w:hAnsi="Book Antiqua"/>
          <w:color w:val="333333"/>
          <w:shd w:val="clear" w:color="auto" w:fill="FFFFFF"/>
        </w:rPr>
        <w:t xml:space="preserve"> </w:t>
      </w:r>
      <w:r w:rsidRPr="00A30522">
        <w:rPr>
          <w:rFonts w:ascii="Book Antiqua" w:hAnsi="Book Antiqua"/>
          <w:color w:val="333333"/>
          <w:shd w:val="clear" w:color="auto" w:fill="FFFFFF"/>
        </w:rPr>
        <w:t>In addition, the word “behavior” should be construed to include activities of the mind, such as fantasies or dreams. </w:t>
      </w:r>
      <w:r w:rsidRPr="00A30522">
        <w:rPr>
          <w:rStyle w:val="Emphasis"/>
          <w:rFonts w:ascii="Book Antiqua" w:hAnsi="Book Antiqua"/>
          <w:color w:val="333333"/>
          <w:shd w:val="clear" w:color="auto" w:fill="FFFFFF"/>
        </w:rPr>
        <w:t>See</w:t>
      </w:r>
      <w:r w:rsidRPr="00A30522">
        <w:rPr>
          <w:rFonts w:ascii="Book Antiqua" w:hAnsi="Book Antiqua"/>
          <w:color w:val="333333"/>
          <w:shd w:val="clear" w:color="auto" w:fill="FFFFFF"/>
        </w:rPr>
        <w:t> 23 C. Wright &amp; K. Graham, Jr., </w:t>
      </w:r>
      <w:r w:rsidRPr="00A30522">
        <w:rPr>
          <w:rStyle w:val="Emphasis"/>
          <w:rFonts w:ascii="Book Antiqua" w:hAnsi="Book Antiqua"/>
          <w:color w:val="333333"/>
          <w:shd w:val="clear" w:color="auto" w:fill="FFFFFF"/>
        </w:rPr>
        <w:t>Federal Practice and Procedure</w:t>
      </w:r>
      <w:r w:rsidRPr="00A30522">
        <w:rPr>
          <w:rFonts w:ascii="Book Antiqua" w:hAnsi="Book Antiqua"/>
          <w:color w:val="333333"/>
          <w:shd w:val="clear" w:color="auto" w:fill="FFFFFF"/>
        </w:rPr>
        <w:t>, §5384 at p. 548 (1980) (“While there may be some doubt under statutes that require ‘conduct,’ it would seem that the language of Rule 412 is broad enough to encompass the behavior of the mind.”).</w:t>
      </w:r>
      <w:r w:rsidR="00AA0201">
        <w:rPr>
          <w:rFonts w:ascii="Book Antiqua" w:hAnsi="Book Antiqua"/>
          <w:color w:val="333333"/>
          <w:shd w:val="clear" w:color="auto" w:fill="FFFFFF"/>
        </w:rPr>
        <w:t xml:space="preserve">  In </w:t>
      </w:r>
      <w:proofErr w:type="gramStart"/>
      <w:r w:rsidR="00AA0201">
        <w:rPr>
          <w:rFonts w:ascii="Book Antiqua" w:hAnsi="Book Antiqua"/>
          <w:color w:val="333333"/>
          <w:shd w:val="clear" w:color="auto" w:fill="FFFFFF"/>
        </w:rPr>
        <w:t>addition</w:t>
      </w:r>
      <w:proofErr w:type="gramEnd"/>
      <w:r w:rsidR="00AA0201">
        <w:rPr>
          <w:rFonts w:ascii="Book Antiqua" w:hAnsi="Book Antiqua"/>
          <w:color w:val="333333"/>
          <w:shd w:val="clear" w:color="auto" w:fill="FFFFFF"/>
        </w:rPr>
        <w:t xml:space="preserve"> the commentary </w:t>
      </w:r>
      <w:r w:rsidR="00AA0201" w:rsidRPr="00AA0201">
        <w:rPr>
          <w:rFonts w:ascii="Book Antiqua" w:hAnsi="Book Antiqua"/>
          <w:color w:val="333333"/>
          <w:shd w:val="clear" w:color="auto" w:fill="FFFFFF"/>
        </w:rPr>
        <w:t>states “</w:t>
      </w:r>
      <w:r w:rsidR="00AA0201" w:rsidRPr="00AA0201">
        <w:rPr>
          <w:rFonts w:ascii="Book Antiqua" w:hAnsi="Book Antiqua"/>
          <w:color w:val="333333"/>
          <w:shd w:val="clear" w:color="auto" w:fill="FFFFFF"/>
        </w:rPr>
        <w:t>evidence such as that relating to the alleged victim's mode of dress, speech, or life-style will not be admissible.</w:t>
      </w:r>
      <w:r w:rsidR="00AA0201" w:rsidRPr="00AA0201">
        <w:rPr>
          <w:rFonts w:ascii="Book Antiqua" w:hAnsi="Book Antiqua"/>
          <w:color w:val="333333"/>
          <w:shd w:val="clear" w:color="auto" w:fill="FFFFFF"/>
        </w:rPr>
        <w:t>”</w:t>
      </w:r>
      <w:r w:rsidR="00AA0201">
        <w:rPr>
          <w:rFonts w:ascii="Verdana" w:hAnsi="Verdana"/>
          <w:color w:val="333333"/>
          <w:shd w:val="clear" w:color="auto" w:fill="FFFFFF"/>
        </w:rPr>
        <w:t xml:space="preserve">  </w:t>
      </w:r>
      <w:r w:rsidR="00AA0201" w:rsidRPr="00AA0201">
        <w:rPr>
          <w:rFonts w:ascii="Book Antiqua" w:hAnsi="Book Antiqua"/>
          <w:color w:val="333333"/>
          <w:shd w:val="clear" w:color="auto" w:fill="FFFFFF"/>
        </w:rPr>
        <w:t xml:space="preserve">Under </w:t>
      </w:r>
      <w:proofErr w:type="gramStart"/>
      <w:r w:rsidR="00AA0201" w:rsidRPr="00AA0201">
        <w:rPr>
          <w:rFonts w:ascii="Book Antiqua" w:hAnsi="Book Antiqua"/>
          <w:color w:val="333333"/>
          <w:shd w:val="clear" w:color="auto" w:fill="FFFFFF"/>
        </w:rPr>
        <w:t>this rules</w:t>
      </w:r>
      <w:proofErr w:type="gramEnd"/>
      <w:r w:rsidR="00AA0201" w:rsidRPr="00AA0201">
        <w:rPr>
          <w:rFonts w:ascii="Book Antiqua" w:hAnsi="Book Antiqua"/>
          <w:color w:val="333333"/>
          <w:shd w:val="clear" w:color="auto" w:fill="FFFFFF"/>
        </w:rPr>
        <w:t xml:space="preserve"> outlined in the Title IX regulations this would not be relevant.</w:t>
      </w:r>
      <w:r w:rsidR="00AA0201">
        <w:rPr>
          <w:rFonts w:ascii="Verdana" w:hAnsi="Verdana"/>
          <w:color w:val="333333"/>
          <w:shd w:val="clear" w:color="auto" w:fill="FFFFFF"/>
        </w:rPr>
        <w:t xml:space="preserve">  </w:t>
      </w:r>
    </w:p>
  </w:footnote>
  <w:footnote w:id="4">
    <w:p w:rsidR="00AA0201" w:rsidRPr="00135AB1" w:rsidRDefault="00AA0201">
      <w:pPr>
        <w:pStyle w:val="FootnoteText"/>
        <w:rPr>
          <w:rFonts w:ascii="Book Antiqua" w:hAnsi="Book Antiqua"/>
          <w:lang w:val="en-US"/>
        </w:rPr>
      </w:pPr>
      <w:r>
        <w:rPr>
          <w:rStyle w:val="FootnoteReference"/>
        </w:rPr>
        <w:footnoteRef/>
      </w:r>
      <w:r>
        <w:t xml:space="preserve"> </w:t>
      </w:r>
      <w:r w:rsidRPr="00AA0201">
        <w:rPr>
          <w:rFonts w:ascii="Book Antiqua" w:hAnsi="Book Antiqua"/>
          <w:lang w:val="en-US"/>
        </w:rPr>
        <w:t>This was also addressed in the commentary to Rule 412 “</w:t>
      </w:r>
      <w:r w:rsidRPr="00AA0201">
        <w:rPr>
          <w:rFonts w:ascii="Book Antiqua" w:hAnsi="Book Antiqua"/>
          <w:color w:val="333333"/>
          <w:shd w:val="clear" w:color="auto" w:fill="FFFFFF"/>
        </w:rPr>
        <w:t xml:space="preserve">evidence of specific instances of sexual behavior with persons other than the person whose sexual misconduct is alleged may be admissible if it is offered to prove that </w:t>
      </w:r>
      <w:r w:rsidRPr="00AA0201">
        <w:rPr>
          <w:rFonts w:ascii="Book Antiqua" w:hAnsi="Book Antiqua"/>
          <w:i/>
          <w:color w:val="333333"/>
          <w:shd w:val="clear" w:color="auto" w:fill="FFFFFF"/>
        </w:rPr>
        <w:t>another person was the source of semen, injury or other physical evidence</w:t>
      </w:r>
      <w:r w:rsidRPr="00AA0201">
        <w:rPr>
          <w:rFonts w:ascii="Book Antiqua" w:hAnsi="Book Antiqua"/>
          <w:color w:val="333333"/>
          <w:shd w:val="clear" w:color="auto" w:fill="FFFFFF"/>
        </w:rPr>
        <w:t>. Where the prosecution has directly or indirectly asserted that the physical evidence originated with the accused, the defendant must be afforded an opportunity to prove that another person was responsible. </w:t>
      </w:r>
      <w:r w:rsidRPr="00AA0201">
        <w:rPr>
          <w:rStyle w:val="Emphasis"/>
          <w:rFonts w:ascii="Book Antiqua" w:hAnsi="Book Antiqua"/>
          <w:color w:val="333333"/>
          <w:shd w:val="clear" w:color="auto" w:fill="FFFFFF"/>
        </w:rPr>
        <w:t xml:space="preserve">See United </w:t>
      </w:r>
      <w:r w:rsidRPr="00135AB1">
        <w:rPr>
          <w:rStyle w:val="Emphasis"/>
          <w:rFonts w:ascii="Book Antiqua" w:hAnsi="Book Antiqua"/>
          <w:color w:val="333333"/>
          <w:shd w:val="clear" w:color="auto" w:fill="FFFFFF"/>
        </w:rPr>
        <w:t>States v. Begay</w:t>
      </w:r>
      <w:r w:rsidRPr="00135AB1">
        <w:rPr>
          <w:rFonts w:ascii="Book Antiqua" w:hAnsi="Book Antiqua"/>
          <w:color w:val="333333"/>
          <w:shd w:val="clear" w:color="auto" w:fill="FFFFFF"/>
        </w:rPr>
        <w:t>, </w:t>
      </w:r>
      <w:hyperlink r:id="rId3" w:history="1">
        <w:r w:rsidRPr="00135AB1">
          <w:rPr>
            <w:rStyle w:val="Hyperlink"/>
            <w:rFonts w:ascii="Book Antiqua" w:hAnsi="Book Antiqua"/>
            <w:color w:val="0068AC"/>
            <w:shd w:val="clear" w:color="auto" w:fill="FFFFFF"/>
          </w:rPr>
          <w:t>937 F.2d 515</w:t>
        </w:r>
      </w:hyperlink>
      <w:r w:rsidRPr="00135AB1">
        <w:rPr>
          <w:rFonts w:ascii="Book Antiqua" w:hAnsi="Book Antiqua"/>
          <w:color w:val="333333"/>
          <w:shd w:val="clear" w:color="auto" w:fill="FFFFFF"/>
        </w:rPr>
        <w:t>, 523 n. 10 (10th Cir. 1991).</w:t>
      </w:r>
      <w:r w:rsidRPr="00135AB1">
        <w:rPr>
          <w:rFonts w:ascii="Book Antiqua" w:hAnsi="Book Antiqua"/>
          <w:color w:val="333333"/>
          <w:shd w:val="clear" w:color="auto" w:fill="FFFFFF"/>
        </w:rPr>
        <w:t xml:space="preserve">”  </w:t>
      </w:r>
    </w:p>
  </w:footnote>
  <w:footnote w:id="5">
    <w:p w:rsidR="009359F3" w:rsidRPr="00135AB1" w:rsidRDefault="009359F3">
      <w:pPr>
        <w:pStyle w:val="FootnoteText"/>
        <w:rPr>
          <w:rFonts w:ascii="Book Antiqua" w:hAnsi="Book Antiqua"/>
          <w:lang w:val="en-US"/>
        </w:rPr>
      </w:pPr>
      <w:r w:rsidRPr="00135AB1">
        <w:rPr>
          <w:rStyle w:val="FootnoteReference"/>
          <w:rFonts w:ascii="Book Antiqua" w:hAnsi="Book Antiqua"/>
        </w:rPr>
        <w:footnoteRef/>
      </w:r>
      <w:r w:rsidRPr="00135AB1">
        <w:rPr>
          <w:rFonts w:ascii="Book Antiqua" w:hAnsi="Book Antiqua"/>
        </w:rPr>
        <w:t xml:space="preserve"> See </w:t>
      </w:r>
      <w:hyperlink r:id="rId4" w:history="1">
        <w:r w:rsidRPr="00135AB1">
          <w:rPr>
            <w:rStyle w:val="Hyperlink"/>
            <w:rFonts w:ascii="Book Antiqua" w:hAnsi="Book Antiqua"/>
          </w:rPr>
          <w:t>https://law.justia.com/codes/oklahoma/2014/title-12/section-12-2505/#:~:text=A%20person%20has%20a%20privilege,acting%20in%20his%20professional%20capacity.</w:t>
        </w:r>
      </w:hyperlink>
    </w:p>
  </w:footnote>
  <w:footnote w:id="6">
    <w:p w:rsidR="00FE29C5" w:rsidRPr="00135AB1" w:rsidRDefault="00FE29C5">
      <w:pPr>
        <w:pStyle w:val="FootnoteText"/>
        <w:rPr>
          <w:rFonts w:ascii="Book Antiqua" w:hAnsi="Book Antiqua"/>
          <w:lang w:val="en-US"/>
        </w:rPr>
      </w:pPr>
      <w:r w:rsidRPr="00135AB1">
        <w:rPr>
          <w:rStyle w:val="FootnoteReference"/>
          <w:rFonts w:ascii="Book Antiqua" w:hAnsi="Book Antiqua"/>
        </w:rPr>
        <w:footnoteRef/>
      </w:r>
      <w:r w:rsidRPr="00135AB1">
        <w:rPr>
          <w:rFonts w:ascii="Book Antiqua" w:hAnsi="Book Antiqua"/>
        </w:rPr>
        <w:t xml:space="preserve"> For information regarding this privilege in Oklahoma see </w:t>
      </w:r>
      <w:hyperlink r:id="rId5" w:history="1">
        <w:r w:rsidRPr="00135AB1">
          <w:rPr>
            <w:rStyle w:val="Hyperlink"/>
            <w:rFonts w:ascii="Book Antiqua" w:hAnsi="Book Antiqua"/>
          </w:rPr>
          <w:t>https://apps.rainn.org/policy/policy-state-laws-export.cfm?state=Oklahoma&amp;group=6</w:t>
        </w:r>
      </w:hyperlink>
    </w:p>
  </w:footnote>
  <w:footnote w:id="7">
    <w:p w:rsidR="00FE29C5" w:rsidRPr="00FE29C5" w:rsidRDefault="00FE29C5">
      <w:pPr>
        <w:pStyle w:val="FootnoteText"/>
        <w:rPr>
          <w:lang w:val="en-US"/>
        </w:rPr>
      </w:pPr>
      <w:r w:rsidRPr="00135AB1">
        <w:rPr>
          <w:rStyle w:val="FootnoteReference"/>
          <w:rFonts w:ascii="Book Antiqua" w:hAnsi="Book Antiqua"/>
        </w:rPr>
        <w:footnoteRef/>
      </w:r>
      <w:r w:rsidRPr="00135AB1">
        <w:rPr>
          <w:rFonts w:ascii="Book Antiqua" w:hAnsi="Book Antiqua"/>
        </w:rPr>
        <w:t xml:space="preserve"> </w:t>
      </w:r>
      <w:r w:rsidRPr="00135AB1">
        <w:rPr>
          <w:rFonts w:ascii="Book Antiqua" w:hAnsi="Book Antiqua"/>
          <w:lang w:val="en-US"/>
        </w:rPr>
        <w:t xml:space="preserve">For general information about privileges in Oklahoma see </w:t>
      </w:r>
      <w:hyperlink r:id="rId6" w:history="1">
        <w:r w:rsidRPr="00135AB1">
          <w:rPr>
            <w:rStyle w:val="Hyperlink"/>
            <w:rFonts w:ascii="Book Antiqua" w:hAnsi="Book Antiqua"/>
          </w:rPr>
          <w:t>https://www.victimrights.org/sites/default/files/Oklahoma.pdf</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2E10D9"/>
    <w:multiLevelType w:val="hybridMultilevel"/>
    <w:tmpl w:val="075CCF4E"/>
    <w:lvl w:ilvl="0" w:tplc="5A5CEA42">
      <w:start w:val="1"/>
      <w:numFmt w:val="bullet"/>
      <w:lvlText w:val=""/>
      <w:lvlJc w:val="left"/>
      <w:pPr>
        <w:ind w:left="360" w:hanging="360"/>
      </w:pPr>
      <w:rPr>
        <w:rFonts w:ascii="Symbol" w:hAnsi="Symbol" w:hint="default"/>
      </w:rPr>
    </w:lvl>
    <w:lvl w:ilvl="1" w:tplc="77662410">
      <w:start w:val="1"/>
      <w:numFmt w:val="bullet"/>
      <w:lvlText w:val="o"/>
      <w:lvlJc w:val="left"/>
      <w:pPr>
        <w:ind w:left="1080" w:hanging="360"/>
      </w:pPr>
      <w:rPr>
        <w:rFonts w:ascii="Courier New" w:hAnsi="Courier New" w:hint="default"/>
      </w:rPr>
    </w:lvl>
    <w:lvl w:ilvl="2" w:tplc="E55C95A2">
      <w:start w:val="1"/>
      <w:numFmt w:val="bullet"/>
      <w:lvlText w:val=""/>
      <w:lvlJc w:val="left"/>
      <w:pPr>
        <w:ind w:left="1800" w:hanging="360"/>
      </w:pPr>
      <w:rPr>
        <w:rFonts w:ascii="Wingdings" w:hAnsi="Wingdings" w:hint="default"/>
      </w:rPr>
    </w:lvl>
    <w:lvl w:ilvl="3" w:tplc="E53E1F2E">
      <w:start w:val="1"/>
      <w:numFmt w:val="bullet"/>
      <w:lvlText w:val=""/>
      <w:lvlJc w:val="left"/>
      <w:pPr>
        <w:ind w:left="2520" w:hanging="360"/>
      </w:pPr>
      <w:rPr>
        <w:rFonts w:ascii="Symbol" w:hAnsi="Symbol" w:hint="default"/>
      </w:rPr>
    </w:lvl>
    <w:lvl w:ilvl="4" w:tplc="6C78BC62">
      <w:start w:val="1"/>
      <w:numFmt w:val="bullet"/>
      <w:lvlText w:val="o"/>
      <w:lvlJc w:val="left"/>
      <w:pPr>
        <w:ind w:left="3240" w:hanging="360"/>
      </w:pPr>
      <w:rPr>
        <w:rFonts w:ascii="Courier New" w:hAnsi="Courier New" w:hint="default"/>
      </w:rPr>
    </w:lvl>
    <w:lvl w:ilvl="5" w:tplc="9B3840DA">
      <w:start w:val="1"/>
      <w:numFmt w:val="bullet"/>
      <w:lvlText w:val=""/>
      <w:lvlJc w:val="left"/>
      <w:pPr>
        <w:ind w:left="3960" w:hanging="360"/>
      </w:pPr>
      <w:rPr>
        <w:rFonts w:ascii="Wingdings" w:hAnsi="Wingdings" w:hint="default"/>
      </w:rPr>
    </w:lvl>
    <w:lvl w:ilvl="6" w:tplc="4F9EE3FE">
      <w:start w:val="1"/>
      <w:numFmt w:val="bullet"/>
      <w:lvlText w:val=""/>
      <w:lvlJc w:val="left"/>
      <w:pPr>
        <w:ind w:left="4680" w:hanging="360"/>
      </w:pPr>
      <w:rPr>
        <w:rFonts w:ascii="Symbol" w:hAnsi="Symbol" w:hint="default"/>
      </w:rPr>
    </w:lvl>
    <w:lvl w:ilvl="7" w:tplc="2C1A4588">
      <w:start w:val="1"/>
      <w:numFmt w:val="bullet"/>
      <w:lvlText w:val="o"/>
      <w:lvlJc w:val="left"/>
      <w:pPr>
        <w:ind w:left="5400" w:hanging="360"/>
      </w:pPr>
      <w:rPr>
        <w:rFonts w:ascii="Courier New" w:hAnsi="Courier New" w:hint="default"/>
      </w:rPr>
    </w:lvl>
    <w:lvl w:ilvl="8" w:tplc="E5A6A984">
      <w:start w:val="1"/>
      <w:numFmt w:val="bullet"/>
      <w:lvlText w:val=""/>
      <w:lvlJc w:val="left"/>
      <w:pPr>
        <w:ind w:left="6120" w:hanging="360"/>
      </w:pPr>
      <w:rPr>
        <w:rFonts w:ascii="Wingdings" w:hAnsi="Wingdings" w:hint="default"/>
      </w:rPr>
    </w:lvl>
  </w:abstractNum>
  <w:abstractNum w:abstractNumId="1" w15:restartNumberingAfterBreak="0">
    <w:nsid w:val="47FD0679"/>
    <w:multiLevelType w:val="hybridMultilevel"/>
    <w:tmpl w:val="DFBA7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30A709D"/>
    <w:multiLevelType w:val="hybridMultilevel"/>
    <w:tmpl w:val="278683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7BB507E"/>
    <w:multiLevelType w:val="hybridMultilevel"/>
    <w:tmpl w:val="714E5DB2"/>
    <w:lvl w:ilvl="0" w:tplc="CCC0933E">
      <w:start w:val="1"/>
      <w:numFmt w:val="decimal"/>
      <w:lvlText w:val="%1."/>
      <w:lvlJc w:val="left"/>
      <w:pPr>
        <w:ind w:left="720" w:hanging="360"/>
      </w:pPr>
    </w:lvl>
    <w:lvl w:ilvl="1" w:tplc="4C1C3C74">
      <w:start w:val="1"/>
      <w:numFmt w:val="lowerLetter"/>
      <w:lvlText w:val="%2."/>
      <w:lvlJc w:val="left"/>
      <w:pPr>
        <w:ind w:left="1440" w:hanging="360"/>
      </w:pPr>
    </w:lvl>
    <w:lvl w:ilvl="2" w:tplc="AED46EB0">
      <w:start w:val="1"/>
      <w:numFmt w:val="lowerRoman"/>
      <w:lvlText w:val="%3."/>
      <w:lvlJc w:val="right"/>
      <w:pPr>
        <w:ind w:left="2160" w:hanging="180"/>
      </w:pPr>
    </w:lvl>
    <w:lvl w:ilvl="3" w:tplc="EDE28106">
      <w:start w:val="1"/>
      <w:numFmt w:val="decimal"/>
      <w:lvlText w:val="%4."/>
      <w:lvlJc w:val="left"/>
      <w:pPr>
        <w:ind w:left="2880" w:hanging="360"/>
      </w:pPr>
    </w:lvl>
    <w:lvl w:ilvl="4" w:tplc="582ADB28">
      <w:start w:val="1"/>
      <w:numFmt w:val="lowerLetter"/>
      <w:lvlText w:val="%5."/>
      <w:lvlJc w:val="left"/>
      <w:pPr>
        <w:ind w:left="3600" w:hanging="360"/>
      </w:pPr>
    </w:lvl>
    <w:lvl w:ilvl="5" w:tplc="4606C748">
      <w:start w:val="1"/>
      <w:numFmt w:val="lowerRoman"/>
      <w:lvlText w:val="%6."/>
      <w:lvlJc w:val="right"/>
      <w:pPr>
        <w:ind w:left="4320" w:hanging="180"/>
      </w:pPr>
    </w:lvl>
    <w:lvl w:ilvl="6" w:tplc="C83ADA5C">
      <w:start w:val="1"/>
      <w:numFmt w:val="decimal"/>
      <w:lvlText w:val="%7."/>
      <w:lvlJc w:val="left"/>
      <w:pPr>
        <w:ind w:left="5040" w:hanging="360"/>
      </w:pPr>
    </w:lvl>
    <w:lvl w:ilvl="7" w:tplc="935CAE18">
      <w:start w:val="1"/>
      <w:numFmt w:val="lowerLetter"/>
      <w:lvlText w:val="%8."/>
      <w:lvlJc w:val="left"/>
      <w:pPr>
        <w:ind w:left="5760" w:hanging="360"/>
      </w:pPr>
    </w:lvl>
    <w:lvl w:ilvl="8" w:tplc="770C9986">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7DD"/>
    <w:rsid w:val="0004267A"/>
    <w:rsid w:val="00063B3A"/>
    <w:rsid w:val="00135AB1"/>
    <w:rsid w:val="002443FF"/>
    <w:rsid w:val="005C7F3C"/>
    <w:rsid w:val="007F2CC1"/>
    <w:rsid w:val="009359F3"/>
    <w:rsid w:val="00A1496D"/>
    <w:rsid w:val="00A22113"/>
    <w:rsid w:val="00A30522"/>
    <w:rsid w:val="00A72315"/>
    <w:rsid w:val="00AA0201"/>
    <w:rsid w:val="00B31F74"/>
    <w:rsid w:val="00B83300"/>
    <w:rsid w:val="00DA0607"/>
    <w:rsid w:val="00DA425B"/>
    <w:rsid w:val="00DD2C30"/>
    <w:rsid w:val="00E30E36"/>
    <w:rsid w:val="00E87EC4"/>
    <w:rsid w:val="00FC47DD"/>
    <w:rsid w:val="00FE29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1A431"/>
  <w15:chartTrackingRefBased/>
  <w15:docId w15:val="{42F5D83A-34FB-4D39-9F2B-13950227E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1F74"/>
    <w:pPr>
      <w:spacing w:after="0" w:line="276" w:lineRule="auto"/>
      <w:ind w:left="720"/>
      <w:contextualSpacing/>
    </w:pPr>
    <w:rPr>
      <w:rFonts w:ascii="Arial" w:eastAsia="Arial" w:hAnsi="Arial" w:cs="Arial"/>
      <w:lang w:val="en"/>
    </w:rPr>
  </w:style>
  <w:style w:type="character" w:styleId="Hyperlink">
    <w:name w:val="Hyperlink"/>
    <w:basedOn w:val="DefaultParagraphFont"/>
    <w:uiPriority w:val="99"/>
    <w:unhideWhenUsed/>
    <w:rsid w:val="00B31F74"/>
    <w:rPr>
      <w:color w:val="0563C1" w:themeColor="hyperlink"/>
      <w:u w:val="single"/>
    </w:rPr>
  </w:style>
  <w:style w:type="paragraph" w:styleId="FootnoteText">
    <w:name w:val="footnote text"/>
    <w:basedOn w:val="Normal"/>
    <w:link w:val="FootnoteTextChar"/>
    <w:uiPriority w:val="99"/>
    <w:semiHidden/>
    <w:unhideWhenUsed/>
    <w:rsid w:val="00B31F74"/>
    <w:pPr>
      <w:spacing w:after="0" w:line="240" w:lineRule="auto"/>
    </w:pPr>
    <w:rPr>
      <w:rFonts w:ascii="Arial" w:eastAsia="Arial" w:hAnsi="Arial" w:cs="Arial"/>
      <w:sz w:val="20"/>
      <w:szCs w:val="20"/>
      <w:lang w:val="en"/>
    </w:rPr>
  </w:style>
  <w:style w:type="character" w:customStyle="1" w:styleId="FootnoteTextChar">
    <w:name w:val="Footnote Text Char"/>
    <w:basedOn w:val="DefaultParagraphFont"/>
    <w:link w:val="FootnoteText"/>
    <w:uiPriority w:val="99"/>
    <w:semiHidden/>
    <w:rsid w:val="00B31F74"/>
    <w:rPr>
      <w:rFonts w:ascii="Arial" w:eastAsia="Arial" w:hAnsi="Arial" w:cs="Arial"/>
      <w:sz w:val="20"/>
      <w:szCs w:val="20"/>
      <w:lang w:val="en"/>
    </w:rPr>
  </w:style>
  <w:style w:type="character" w:styleId="FootnoteReference">
    <w:name w:val="footnote reference"/>
    <w:basedOn w:val="DefaultParagraphFont"/>
    <w:uiPriority w:val="99"/>
    <w:semiHidden/>
    <w:unhideWhenUsed/>
    <w:rsid w:val="00B31F74"/>
    <w:rPr>
      <w:vertAlign w:val="superscript"/>
    </w:rPr>
  </w:style>
  <w:style w:type="table" w:styleId="TableGrid">
    <w:name w:val="Table Grid"/>
    <w:basedOn w:val="TableNormal"/>
    <w:uiPriority w:val="39"/>
    <w:rsid w:val="007F2C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49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496D"/>
  </w:style>
  <w:style w:type="paragraph" w:styleId="Footer">
    <w:name w:val="footer"/>
    <w:basedOn w:val="Normal"/>
    <w:link w:val="FooterChar"/>
    <w:uiPriority w:val="99"/>
    <w:unhideWhenUsed/>
    <w:rsid w:val="00A149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96D"/>
  </w:style>
  <w:style w:type="character" w:styleId="UnresolvedMention">
    <w:name w:val="Unresolved Mention"/>
    <w:basedOn w:val="DefaultParagraphFont"/>
    <w:uiPriority w:val="99"/>
    <w:semiHidden/>
    <w:unhideWhenUsed/>
    <w:rsid w:val="00A30522"/>
    <w:rPr>
      <w:color w:val="605E5C"/>
      <w:shd w:val="clear" w:color="auto" w:fill="E1DFDD"/>
    </w:rPr>
  </w:style>
  <w:style w:type="character" w:styleId="Emphasis">
    <w:name w:val="Emphasis"/>
    <w:basedOn w:val="DefaultParagraphFont"/>
    <w:uiPriority w:val="20"/>
    <w:qFormat/>
    <w:rsid w:val="00A305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cornell.edu/rules/fre/rule_40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law.cornell.edu/jureeka/index.php?doc=F2d&amp;vol=937&amp;page=515" TargetMode="External"/><Relationship Id="rId2" Type="http://schemas.openxmlformats.org/officeDocument/2006/relationships/hyperlink" Target="https://www.law.cornell.edu/jureeka/index.php?doc=F2d&amp;vol=702&amp;page=736" TargetMode="External"/><Relationship Id="rId1" Type="http://schemas.openxmlformats.org/officeDocument/2006/relationships/hyperlink" Target="https://www.law.cornell.edu/jureeka/index.php?doc=F2d&amp;vol=937&amp;page=542" TargetMode="External"/><Relationship Id="rId6" Type="http://schemas.openxmlformats.org/officeDocument/2006/relationships/hyperlink" Target="https://www.victimrights.org/sites/default/files/Oklahoma.pdf" TargetMode="External"/><Relationship Id="rId5" Type="http://schemas.openxmlformats.org/officeDocument/2006/relationships/hyperlink" Target="https://apps.rainn.org/policy/policy-state-laws-export.cfm?state=Oklahoma&amp;group=6" TargetMode="External"/><Relationship Id="rId4" Type="http://schemas.openxmlformats.org/officeDocument/2006/relationships/hyperlink" Target="https://law.justia.com/codes/oklahoma/2014/title-12/section-12-2505/#:~:text=A%20person%20has%20a%20privilege,acting%20in%20his%20professional%20capac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318A4-C211-4660-B34C-D5E9836B4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2555</TotalTime>
  <Pages>4</Pages>
  <Words>1139</Words>
  <Characters>6498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Mackenzie Murphy-Wilfong</dc:creator>
  <cp:keywords/>
  <dc:description/>
  <cp:lastModifiedBy>Mackenzie Murphy-Wilfong</cp:lastModifiedBy>
  <cp:revision>9</cp:revision>
  <dcterms:created xsi:type="dcterms:W3CDTF">2020-07-19T16:55:00Z</dcterms:created>
  <dcterms:modified xsi:type="dcterms:W3CDTF">2020-07-19T17:31:00Z</dcterms:modified>
</cp:coreProperties>
</file>